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964F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36"/>
          <w:szCs w:val="36"/>
          <w:highlight w:val="none"/>
          <w:lang w:val="en-US" w:eastAsia="zh-CN"/>
          <w14:textFill>
            <w14:solidFill>
              <w14:schemeClr w14:val="tx1"/>
            </w14:solidFill>
          </w14:textFill>
        </w:rPr>
      </w:pPr>
    </w:p>
    <w:p w14:paraId="049F1186">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72"/>
          <w:szCs w:val="72"/>
          <w:highlight w:val="none"/>
          <w14:textFill>
            <w14:solidFill>
              <w14:schemeClr w14:val="tx1"/>
            </w14:solidFill>
          </w14:textFill>
        </w:rPr>
      </w:pPr>
      <w:r>
        <w:rPr>
          <w:rFonts w:hint="default" w:ascii="Times New Roman" w:hAnsi="Times New Roman" w:eastAsia="宋体" w:cs="Times New Roman"/>
          <w:b/>
          <w:bCs/>
          <w:color w:val="000000" w:themeColor="text1"/>
          <w:sz w:val="72"/>
          <w:szCs w:val="72"/>
          <w:highlight w:val="none"/>
          <w14:textFill>
            <w14:solidFill>
              <w14:schemeClr w14:val="tx1"/>
            </w14:solidFill>
          </w14:textFill>
        </w:rPr>
        <w:t>建设项目环境影响报告表</w:t>
      </w:r>
    </w:p>
    <w:p w14:paraId="0236D123">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000000" w:themeColor="text1"/>
          <w:sz w:val="52"/>
          <w:szCs w:val="52"/>
          <w:highlight w:val="none"/>
          <w14:textFill>
            <w14:solidFill>
              <w14:schemeClr w14:val="tx1"/>
            </w14:solidFill>
          </w14:textFill>
        </w:rPr>
      </w:pPr>
    </w:p>
    <w:p w14:paraId="2F022DE1">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000000" w:themeColor="text1"/>
          <w:sz w:val="48"/>
          <w:szCs w:val="48"/>
          <w:highlight w:val="none"/>
          <w14:textFill>
            <w14:solidFill>
              <w14:schemeClr w14:val="tx1"/>
            </w14:solidFill>
          </w14:textFill>
        </w:rPr>
      </w:pPr>
      <w:r>
        <w:rPr>
          <w:rFonts w:hint="default" w:ascii="Times New Roman" w:hAnsi="Times New Roman" w:eastAsia="仿宋" w:cs="Times New Roman"/>
          <w:b/>
          <w:bCs/>
          <w:color w:val="000000" w:themeColor="text1"/>
          <w:sz w:val="48"/>
          <w:szCs w:val="48"/>
          <w:highlight w:val="none"/>
          <w14:textFill>
            <w14:solidFill>
              <w14:schemeClr w14:val="tx1"/>
            </w14:solidFill>
          </w14:textFill>
        </w:rPr>
        <w:t>（污染影响类）</w:t>
      </w:r>
    </w:p>
    <w:p w14:paraId="7044B63A">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outlineLvl w:val="9"/>
        <w:rPr>
          <w:rFonts w:hint="default" w:ascii="Times New Roman" w:hAnsi="Times New Roman" w:eastAsia="仿宋" w:cs="Times New Roman"/>
          <w:b/>
          <w:bCs/>
          <w:color w:val="000000" w:themeColor="text1"/>
          <w:kern w:val="44"/>
          <w:sz w:val="40"/>
          <w:szCs w:val="40"/>
          <w:highlight w:val="none"/>
          <w:lang w:val="en-US" w:eastAsia="zh-CN"/>
          <w14:textFill>
            <w14:solidFill>
              <w14:schemeClr w14:val="tx1"/>
            </w14:solidFill>
          </w14:textFill>
        </w:rPr>
      </w:pPr>
    </w:p>
    <w:p w14:paraId="4FD27C8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outlineLvl w:val="9"/>
        <w:rPr>
          <w:rFonts w:hint="default" w:ascii="Times New Roman" w:hAnsi="Times New Roman" w:eastAsia="仿宋" w:cs="Times New Roman"/>
          <w:b/>
          <w:bCs/>
          <w:color w:val="000000" w:themeColor="text1"/>
          <w:kern w:val="44"/>
          <w:sz w:val="40"/>
          <w:szCs w:val="40"/>
          <w:highlight w:val="none"/>
          <w:lang w:val="en-US" w:eastAsia="zh-CN"/>
          <w14:textFill>
            <w14:solidFill>
              <w14:schemeClr w14:val="tx1"/>
            </w14:solidFill>
          </w14:textFill>
        </w:rPr>
      </w:pPr>
      <w:r>
        <w:rPr>
          <w:rFonts w:hint="eastAsia" w:eastAsia="仿宋" w:cs="Times New Roman"/>
          <w:b/>
          <w:bCs/>
          <w:color w:val="000000" w:themeColor="text1"/>
          <w:kern w:val="44"/>
          <w:sz w:val="40"/>
          <w:szCs w:val="40"/>
          <w:highlight w:val="none"/>
          <w:lang w:val="en-US" w:eastAsia="zh-CN"/>
          <w14:textFill>
            <w14:solidFill>
              <w14:schemeClr w14:val="tx1"/>
            </w14:solidFill>
          </w14:textFill>
        </w:rPr>
        <w:t>送审稿</w:t>
      </w:r>
    </w:p>
    <w:p w14:paraId="2B2BC94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44"/>
          <w:szCs w:val="44"/>
          <w:highlight w:val="none"/>
          <w14:textFill>
            <w14:solidFill>
              <w14:schemeClr w14:val="tx1"/>
            </w14:solidFill>
          </w14:textFill>
        </w:rPr>
      </w:pPr>
    </w:p>
    <w:p w14:paraId="6E297C6A">
      <w:pPr>
        <w:pStyle w:val="2"/>
        <w:keepLines w:val="0"/>
        <w:pageBreakBefore w:val="0"/>
        <w:kinsoku/>
        <w:bidi w:val="0"/>
        <w:snapToGrid/>
        <w:spacing w:beforeLines="0" w:after="0" w:afterLines="0"/>
        <w:ind w:left="0" w:leftChars="0"/>
        <w:jc w:val="center"/>
        <w:rPr>
          <w:rFonts w:hint="default" w:ascii="Times New Roman" w:hAnsi="Times New Roman" w:cs="Times New Roman"/>
          <w:b/>
          <w:bCs/>
          <w:color w:val="000000" w:themeColor="text1"/>
          <w:highlight w:val="none"/>
          <w14:textFill>
            <w14:solidFill>
              <w14:schemeClr w14:val="tx1"/>
            </w14:solidFill>
          </w14:textFill>
        </w:rPr>
      </w:pPr>
    </w:p>
    <w:p w14:paraId="509F947D">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right="0" w:rightChars="0"/>
        <w:jc w:val="center"/>
        <w:textAlignment w:val="auto"/>
        <w:rPr>
          <w:rFonts w:hint="default" w:ascii="Times New Roman" w:hAnsi="Times New Roman" w:eastAsia="仿宋" w:cs="Times New Roman"/>
          <w:b/>
          <w:bCs/>
          <w:color w:val="000000" w:themeColor="text1"/>
          <w:sz w:val="36"/>
          <w:szCs w:val="36"/>
          <w:highlight w:val="none"/>
          <w14:textFill>
            <w14:solidFill>
              <w14:schemeClr w14:val="tx1"/>
            </w14:solidFill>
          </w14:textFill>
        </w:rPr>
      </w:pPr>
    </w:p>
    <w:p w14:paraId="4B6123F2">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left"/>
        <w:textAlignment w:val="auto"/>
        <w:rPr>
          <w:rFonts w:hint="default" w:ascii="Times New Roman" w:hAnsi="Times New Roman" w:eastAsia="仿宋" w:cs="Times New Roman"/>
          <w:b/>
          <w:bCs/>
          <w:color w:val="000000" w:themeColor="text1"/>
          <w:sz w:val="28"/>
          <w:szCs w:val="28"/>
          <w:highlight w:val="none"/>
          <w14:textFill>
            <w14:solidFill>
              <w14:schemeClr w14:val="tx1"/>
            </w14:solidFill>
          </w14:textFill>
        </w:rPr>
      </w:pPr>
    </w:p>
    <w:p w14:paraId="0C1FACD9">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left"/>
        <w:textAlignment w:val="auto"/>
        <w:rPr>
          <w:rFonts w:hint="default" w:ascii="Times New Roman" w:hAnsi="Times New Roman" w:eastAsia="仿宋" w:cs="Times New Roman"/>
          <w:b/>
          <w:bCs/>
          <w:color w:val="000000" w:themeColor="text1"/>
          <w:sz w:val="28"/>
          <w:szCs w:val="28"/>
          <w:highlight w:val="none"/>
          <w:u w:val="single"/>
          <w:lang w:val="en-US" w:eastAsia="zh-CN"/>
          <w14:textFill>
            <w14:solidFill>
              <w14:schemeClr w14:val="tx1"/>
            </w14:solidFill>
          </w14:textFill>
        </w:rPr>
      </w:pPr>
      <w:r>
        <w:rPr>
          <w:rFonts w:hint="default" w:ascii="Times New Roman" w:hAnsi="Times New Roman" w:eastAsia="仿宋" w:cs="Times New Roman"/>
          <w:b/>
          <w:bCs/>
          <w:color w:val="000000" w:themeColor="text1"/>
          <w:sz w:val="28"/>
          <w:szCs w:val="28"/>
          <w:highlight w:val="none"/>
          <w14:textFill>
            <w14:solidFill>
              <w14:schemeClr w14:val="tx1"/>
            </w14:solidFill>
          </w14:textFill>
        </w:rPr>
        <w:t>项目名称</w:t>
      </w:r>
      <w:r>
        <w:rPr>
          <w:rFonts w:hint="default" w:ascii="Times New Roman" w:hAnsi="Times New Roman" w:eastAsia="仿宋" w:cs="Times New Roman"/>
          <w:b/>
          <w:bCs/>
          <w:color w:val="000000" w:themeColor="text1"/>
          <w:sz w:val="28"/>
          <w:szCs w:val="28"/>
          <w:highlight w:val="none"/>
          <w:lang w:eastAsia="zh-CN"/>
          <w14:textFill>
            <w14:solidFill>
              <w14:schemeClr w14:val="tx1"/>
            </w14:solidFill>
          </w14:textFill>
        </w:rPr>
        <w:t>：</w:t>
      </w:r>
      <w:r>
        <w:rPr>
          <w:rFonts w:hint="default" w:ascii="Times New Roman" w:hAnsi="Times New Roman" w:eastAsia="仿宋" w:cs="Times New Roman"/>
          <w:b/>
          <w:bCs/>
          <w:color w:val="000000" w:themeColor="text1"/>
          <w:sz w:val="28"/>
          <w:szCs w:val="28"/>
          <w:highlight w:val="none"/>
          <w:u w:val="single"/>
          <w:lang w:eastAsia="zh-CN"/>
          <w14:textFill>
            <w14:solidFill>
              <w14:schemeClr w14:val="tx1"/>
            </w14:solidFill>
          </w14:textFill>
        </w:rPr>
        <w:t>甘孜州圣洁康巴砼业有限责任公司商砼站建设项目</w:t>
      </w:r>
    </w:p>
    <w:p w14:paraId="3548F1AB">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仿宋" w:cs="Times New Roman"/>
          <w:b/>
          <w:bCs/>
          <w:color w:val="000000" w:themeColor="text1"/>
          <w:sz w:val="28"/>
          <w:szCs w:val="28"/>
          <w:highlight w:val="none"/>
          <w14:textFill>
            <w14:solidFill>
              <w14:schemeClr w14:val="tx1"/>
            </w14:solidFill>
          </w14:textFill>
        </w:rPr>
      </w:pPr>
    </w:p>
    <w:p w14:paraId="34B03C4D">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rPr>
          <w:rFonts w:hint="default" w:ascii="Times New Roman" w:hAnsi="Times New Roman" w:eastAsia="仿宋" w:cs="Times New Roman"/>
          <w:b/>
          <w:bCs/>
          <w:color w:val="000000" w:themeColor="text1"/>
          <w:sz w:val="28"/>
          <w:szCs w:val="28"/>
          <w:highlight w:val="none"/>
          <w:lang w:val="en-US"/>
          <w14:textFill>
            <w14:solidFill>
              <w14:schemeClr w14:val="tx1"/>
            </w14:solidFill>
          </w14:textFill>
        </w:rPr>
      </w:pPr>
      <w:r>
        <w:rPr>
          <w:rFonts w:hint="default" w:ascii="Times New Roman" w:hAnsi="Times New Roman" w:eastAsia="仿宋" w:cs="Times New Roman"/>
          <w:b/>
          <w:bCs/>
          <w:color w:val="000000" w:themeColor="text1"/>
          <w:sz w:val="28"/>
          <w:szCs w:val="28"/>
          <w:highlight w:val="none"/>
          <w14:textFill>
            <w14:solidFill>
              <w14:schemeClr w14:val="tx1"/>
            </w14:solidFill>
          </w14:textFill>
        </w:rPr>
        <w:t>建设单位（盖章）：</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 w:cs="Times New Roman"/>
          <w:b/>
          <w:bCs/>
          <w:color w:val="000000" w:themeColor="text1"/>
          <w:sz w:val="28"/>
          <w:szCs w:val="28"/>
          <w:highlight w:val="none"/>
          <w:u w:val="single"/>
          <w:lang w:eastAsia="zh-CN"/>
          <w14:textFill>
            <w14:solidFill>
              <w14:schemeClr w14:val="tx1"/>
            </w14:solidFill>
          </w14:textFill>
        </w:rPr>
        <w:t>甘孜州圣洁康巴砼业有限责任公司</w:t>
      </w:r>
      <w:r>
        <w:rPr>
          <w:rFonts w:hint="default" w:ascii="Times New Roman" w:hAnsi="Times New Roman" w:eastAsia="仿宋" w:cs="Times New Roman"/>
          <w:b/>
          <w:bCs/>
          <w:color w:val="000000" w:themeColor="text1"/>
          <w:sz w:val="28"/>
          <w:szCs w:val="28"/>
          <w:highlight w:val="none"/>
          <w:u w:val="single"/>
          <w:lang w:val="en-US" w:eastAsia="zh-CN"/>
          <w14:textFill>
            <w14:solidFill>
              <w14:schemeClr w14:val="tx1"/>
            </w14:solidFill>
          </w14:textFill>
        </w:rPr>
        <w:t xml:space="preserve">    </w:t>
      </w:r>
    </w:p>
    <w:p w14:paraId="6E2F4C58">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left"/>
        <w:textAlignment w:val="auto"/>
        <w:rPr>
          <w:rFonts w:hint="default" w:ascii="Times New Roman" w:hAnsi="Times New Roman" w:eastAsia="仿宋" w:cs="Times New Roman"/>
          <w:b/>
          <w:bCs/>
          <w:color w:val="000000" w:themeColor="text1"/>
          <w:sz w:val="28"/>
          <w:szCs w:val="28"/>
          <w:highlight w:val="none"/>
          <w14:textFill>
            <w14:solidFill>
              <w14:schemeClr w14:val="tx1"/>
            </w14:solidFill>
          </w14:textFill>
        </w:rPr>
      </w:pPr>
    </w:p>
    <w:p w14:paraId="100293B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left"/>
        <w:textAlignment w:val="auto"/>
        <w:rPr>
          <w:rFonts w:hint="default" w:ascii="Times New Roman" w:hAnsi="Times New Roman" w:eastAsia="仿宋" w:cs="Times New Roman"/>
          <w:b/>
          <w:bCs/>
          <w:color w:val="000000" w:themeColor="text1"/>
          <w:sz w:val="32"/>
          <w:szCs w:val="32"/>
          <w:highlight w:val="none"/>
          <w:u w:val="single"/>
          <w:lang w:val="en-US" w:eastAsia="zh-CN"/>
          <w14:textFill>
            <w14:solidFill>
              <w14:schemeClr w14:val="tx1"/>
            </w14:solidFill>
          </w14:textFill>
        </w:rPr>
      </w:pPr>
      <w:r>
        <w:rPr>
          <w:rFonts w:hint="default" w:ascii="Times New Roman" w:hAnsi="Times New Roman" w:eastAsia="仿宋" w:cs="Times New Roman"/>
          <w:b/>
          <w:bCs/>
          <w:color w:val="000000" w:themeColor="text1"/>
          <w:sz w:val="28"/>
          <w:szCs w:val="28"/>
          <w:highlight w:val="none"/>
          <w14:textFill>
            <w14:solidFill>
              <w14:schemeClr w14:val="tx1"/>
            </w14:solidFill>
          </w14:textFill>
        </w:rPr>
        <w:t>编</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 w:cs="Times New Roman"/>
          <w:b/>
          <w:bCs/>
          <w:color w:val="000000" w:themeColor="text1"/>
          <w:sz w:val="28"/>
          <w:szCs w:val="28"/>
          <w:highlight w:val="none"/>
          <w14:textFill>
            <w14:solidFill>
              <w14:schemeClr w14:val="tx1"/>
            </w14:solidFill>
          </w14:textFill>
        </w:rPr>
        <w:t>制</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 w:cs="Times New Roman"/>
          <w:b/>
          <w:bCs/>
          <w:color w:val="000000" w:themeColor="text1"/>
          <w:sz w:val="28"/>
          <w:szCs w:val="28"/>
          <w:highlight w:val="none"/>
          <w14:textFill>
            <w14:solidFill>
              <w14:schemeClr w14:val="tx1"/>
            </w14:solidFill>
          </w14:textFill>
        </w:rPr>
        <w:t>日</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 w:cs="Times New Roman"/>
          <w:b/>
          <w:bCs/>
          <w:color w:val="000000" w:themeColor="text1"/>
          <w:sz w:val="28"/>
          <w:szCs w:val="28"/>
          <w:highlight w:val="none"/>
          <w14:textFill>
            <w14:solidFill>
              <w14:schemeClr w14:val="tx1"/>
            </w14:solidFill>
          </w14:textFill>
        </w:rPr>
        <w:t>期：</w:t>
      </w:r>
      <w:r>
        <w:rPr>
          <w:rFonts w:hint="default" w:ascii="Times New Roman" w:hAnsi="Times New Roman" w:eastAsia="仿宋" w:cs="Times New Roman"/>
          <w:b/>
          <w:bCs/>
          <w:color w:val="000000" w:themeColor="text1"/>
          <w:sz w:val="28"/>
          <w:szCs w:val="28"/>
          <w:highlight w:val="none"/>
          <w:u w:val="single"/>
          <w:lang w:val="en-US" w:eastAsia="zh-CN"/>
          <w14:textFill>
            <w14:solidFill>
              <w14:schemeClr w14:val="tx1"/>
            </w14:solidFill>
          </w14:textFill>
        </w:rPr>
        <w:t xml:space="preserve">              202</w:t>
      </w:r>
      <w:r>
        <w:rPr>
          <w:rFonts w:hint="eastAsia" w:eastAsia="仿宋" w:cs="Times New Roman"/>
          <w:b/>
          <w:bCs/>
          <w:color w:val="000000" w:themeColor="text1"/>
          <w:sz w:val="28"/>
          <w:szCs w:val="28"/>
          <w:highlight w:val="none"/>
          <w:u w:val="single"/>
          <w:lang w:val="en-US" w:eastAsia="zh-CN"/>
          <w14:textFill>
            <w14:solidFill>
              <w14:schemeClr w14:val="tx1"/>
            </w14:solidFill>
          </w14:textFill>
        </w:rPr>
        <w:t>5</w:t>
      </w:r>
      <w:r>
        <w:rPr>
          <w:rFonts w:hint="default" w:ascii="Times New Roman" w:hAnsi="Times New Roman" w:eastAsia="仿宋" w:cs="Times New Roman"/>
          <w:b/>
          <w:bCs/>
          <w:color w:val="000000" w:themeColor="text1"/>
          <w:sz w:val="28"/>
          <w:szCs w:val="28"/>
          <w:highlight w:val="none"/>
          <w:u w:val="single"/>
          <w:lang w:val="en-US" w:eastAsia="zh-CN"/>
          <w14:textFill>
            <w14:solidFill>
              <w14:schemeClr w14:val="tx1"/>
            </w14:solidFill>
          </w14:textFill>
        </w:rPr>
        <w:t>年</w:t>
      </w:r>
      <w:r>
        <w:rPr>
          <w:rFonts w:hint="eastAsia" w:eastAsia="仿宋" w:cs="Times New Roman"/>
          <w:b/>
          <w:bCs/>
          <w:color w:val="000000" w:themeColor="text1"/>
          <w:sz w:val="28"/>
          <w:szCs w:val="28"/>
          <w:highlight w:val="none"/>
          <w:u w:val="single"/>
          <w:lang w:val="en-US" w:eastAsia="zh-CN"/>
          <w14:textFill>
            <w14:solidFill>
              <w14:schemeClr w14:val="tx1"/>
            </w14:solidFill>
          </w14:textFill>
        </w:rPr>
        <w:t>10</w:t>
      </w:r>
      <w:r>
        <w:rPr>
          <w:rFonts w:hint="default" w:ascii="Times New Roman" w:hAnsi="Times New Roman" w:eastAsia="仿宋" w:cs="Times New Roman"/>
          <w:b/>
          <w:bCs/>
          <w:color w:val="000000" w:themeColor="text1"/>
          <w:sz w:val="28"/>
          <w:szCs w:val="28"/>
          <w:highlight w:val="none"/>
          <w:u w:val="single"/>
          <w:lang w:val="en-US" w:eastAsia="zh-CN"/>
          <w14:textFill>
            <w14:solidFill>
              <w14:schemeClr w14:val="tx1"/>
            </w14:solidFill>
          </w14:textFill>
        </w:rPr>
        <w:t xml:space="preserve">月          </w:t>
      </w:r>
      <w:r>
        <w:rPr>
          <w:rFonts w:hint="default" w:ascii="Times New Roman" w:hAnsi="Times New Roman" w:eastAsia="仿宋" w:cs="Times New Roman"/>
          <w:b/>
          <w:bCs/>
          <w:color w:val="000000" w:themeColor="text1"/>
          <w:sz w:val="32"/>
          <w:szCs w:val="32"/>
          <w:highlight w:val="none"/>
          <w:u w:val="single"/>
          <w:lang w:val="en-US" w:eastAsia="zh-CN"/>
          <w14:textFill>
            <w14:solidFill>
              <w14:schemeClr w14:val="tx1"/>
            </w14:solidFill>
          </w14:textFill>
        </w:rPr>
        <w:t xml:space="preserve">      </w:t>
      </w:r>
    </w:p>
    <w:p w14:paraId="2FD9840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p>
    <w:p w14:paraId="1715EF0C">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p>
    <w:p w14:paraId="09C8A3C5">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p>
    <w:p w14:paraId="6F1FE305">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p>
    <w:p w14:paraId="6A5C4D0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p>
    <w:p w14:paraId="3548CE6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r>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t>中华人民共和国生态环境部制</w:t>
      </w:r>
    </w:p>
    <w:p w14:paraId="2B4E3825">
      <w:pPr>
        <w:keepNext w:val="0"/>
        <w:keepLines w:val="0"/>
        <w:pageBreakBefore w:val="0"/>
        <w:widowControl/>
        <w:kinsoku/>
        <w:wordWrap/>
        <w:overflowPunct/>
        <w:topLinePunct w:val="0"/>
        <w:autoSpaceDE/>
        <w:autoSpaceDN/>
        <w:bidi w:val="0"/>
        <w:adjustRightInd/>
        <w:snapToGrid/>
        <w:spacing w:beforeLines="-2147483648" w:beforeAutospacing="0" w:afterLines="-2147483648" w:afterAutospacing="0" w:line="240" w:lineRule="auto"/>
        <w:ind w:left="0" w:leftChars="0" w:right="0" w:rightChars="0" w:firstLine="0" w:firstLineChars="0"/>
        <w:jc w:val="left"/>
        <w:textAlignment w:val="auto"/>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pPr>
      <w:r>
        <w:rPr>
          <w:rFonts w:hint="default" w:ascii="Times New Roman" w:hAnsi="Times New Roman" w:eastAsia="楷体_GB2312" w:cs="Times New Roman"/>
          <w:b w:val="0"/>
          <w:bCs w:val="0"/>
          <w:color w:val="000000" w:themeColor="text1"/>
          <w:sz w:val="40"/>
          <w:szCs w:val="40"/>
          <w:highlight w:val="none"/>
          <w14:textFill>
            <w14:solidFill>
              <w14:schemeClr w14:val="tx1"/>
            </w14:solidFill>
          </w14:textFill>
        </w:rPr>
        <w:br w:type="page"/>
      </w:r>
    </w:p>
    <w:sdt>
      <w:sdtPr>
        <w:rPr>
          <w:rFonts w:ascii="宋体" w:hAnsi="宋体" w:eastAsia="宋体" w:cs="Times New Roman"/>
          <w:color w:val="000000" w:themeColor="text1"/>
          <w:kern w:val="2"/>
          <w:sz w:val="21"/>
          <w:szCs w:val="24"/>
          <w:highlight w:val="none"/>
          <w:lang w:val="en-US" w:eastAsia="zh-CN" w:bidi="ar-SA"/>
          <w14:textFill>
            <w14:solidFill>
              <w14:schemeClr w14:val="tx1"/>
            </w14:solidFill>
          </w14:textFill>
        </w:rPr>
        <w:id w:val="147477186"/>
        <w15:color w:val="DBDBDB"/>
        <w:docPartObj>
          <w:docPartGallery w:val="Table of Contents"/>
          <w:docPartUnique/>
        </w:docPartObj>
      </w:sdtPr>
      <w:sdtEndP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sdtEndPr>
      <w:sdtContent>
        <w:p w14:paraId="3EF3E36C">
          <w:pPr>
            <w:spacing w:before="0" w:beforeLines="0" w:after="0" w:afterLines="0" w:line="360" w:lineRule="auto"/>
            <w:ind w:left="0" w:leftChars="0" w:right="0" w:rightChars="0" w:firstLine="0" w:firstLineChars="0"/>
            <w:jc w:val="center"/>
            <w:rPr>
              <w:b/>
              <w:bCs/>
              <w:color w:val="000000" w:themeColor="text1"/>
              <w:sz w:val="36"/>
              <w:szCs w:val="44"/>
              <w:highlight w:val="none"/>
              <w14:textFill>
                <w14:solidFill>
                  <w14:schemeClr w14:val="tx1"/>
                </w14:solidFill>
              </w14:textFill>
            </w:rPr>
          </w:pPr>
          <w:r>
            <w:rPr>
              <w:rFonts w:ascii="宋体" w:hAnsi="宋体" w:eastAsia="宋体"/>
              <w:b/>
              <w:bCs/>
              <w:color w:val="000000" w:themeColor="text1"/>
              <w:sz w:val="36"/>
              <w:szCs w:val="44"/>
              <w:highlight w:val="none"/>
              <w14:textFill>
                <w14:solidFill>
                  <w14:schemeClr w14:val="tx1"/>
                </w14:solidFill>
              </w14:textFill>
            </w:rPr>
            <w:t>目</w:t>
          </w:r>
          <w:r>
            <w:rPr>
              <w:rFonts w:hint="eastAsia" w:ascii="宋体" w:hAnsi="宋体" w:eastAsia="宋体"/>
              <w:b/>
              <w:bCs/>
              <w:color w:val="000000" w:themeColor="text1"/>
              <w:sz w:val="36"/>
              <w:szCs w:val="44"/>
              <w:highlight w:val="none"/>
              <w:lang w:val="en-US" w:eastAsia="zh-CN"/>
              <w14:textFill>
                <w14:solidFill>
                  <w14:schemeClr w14:val="tx1"/>
                </w14:solidFill>
              </w14:textFill>
            </w:rPr>
            <w:t xml:space="preserve">  </w:t>
          </w:r>
          <w:r>
            <w:rPr>
              <w:rFonts w:ascii="宋体" w:hAnsi="宋体" w:eastAsia="宋体"/>
              <w:b/>
              <w:bCs/>
              <w:color w:val="000000" w:themeColor="text1"/>
              <w:sz w:val="36"/>
              <w:szCs w:val="44"/>
              <w:highlight w:val="none"/>
              <w14:textFill>
                <w14:solidFill>
                  <w14:schemeClr w14:val="tx1"/>
                </w14:solidFill>
              </w14:textFill>
            </w:rPr>
            <w:t>录</w:t>
          </w:r>
        </w:p>
        <w:p w14:paraId="379015B2">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TOC \o "1-1" \h \u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_Toc28977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一、建设项目基本情况</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_Toc28977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4BC52C51">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_Toc13201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二、建设项目工程分析</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_Toc13201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39</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301F33F7">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_Toc13438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三、区域环境质量现状、环境保护目标及评价标准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_Toc13438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1F092E93">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_Toc15488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四、主要环境影响和保护措施</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_Toc15488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64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1CCB644B">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_Toc1187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五、环境保护措施监督检查清单</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_Toc1187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103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409840DD">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_Toc4529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六、结论</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_Toc4529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105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299B5067">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_Toc26708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附表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_Toc26708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106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769D8011">
          <w:pPr>
            <w:pStyle w:val="26"/>
            <w:tabs>
              <w:tab w:val="right" w:leader="dot" w:pos="8306"/>
            </w:tabs>
            <w:spacing w:line="360" w:lineRule="auto"/>
            <w:ind w:firstLine="0" w:firstLineChars="0"/>
            <w:jc w:val="cente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HYPERLINK \l _Toc8304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建设项目污染物排放量汇总表</w:t>
          </w:r>
          <w:r>
            <w:rPr>
              <w:rFonts w:hint="eastAsia" w:asciiTheme="minorEastAsia" w:hAnsiTheme="minorEastAsia" w:eastAsiaTheme="minorEastAsia" w:cstheme="minorEastAsia"/>
              <w:bCs/>
              <w:snapToGrid w:val="0"/>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instrText xml:space="preserve"> PAGEREF _Toc8304 \h </w:instrTex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106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p>
        <w:p w14:paraId="152D9165">
          <w:pPr>
            <w:spacing w:line="360" w:lineRule="auto"/>
            <w:jc w:val="left"/>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 xml:space="preserve">附件 </w:t>
          </w:r>
        </w:p>
      </w:sdtContent>
    </w:sdt>
    <w:p w14:paraId="33AB84CC">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附件0 委托书</w:t>
      </w:r>
    </w:p>
    <w:p w14:paraId="6D35E02A">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附件1 备案证明</w:t>
      </w:r>
    </w:p>
    <w:p w14:paraId="6035B744">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附件2 营业执照</w:t>
      </w:r>
    </w:p>
    <w:p w14:paraId="476ACE80">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附件3 项目规划符合性、用地性质，以及与最新</w:t>
      </w:r>
      <w:r>
        <w:rPr>
          <w:rFonts w:hint="eastAsia"/>
          <w:color w:val="000000" w:themeColor="text1"/>
          <w:sz w:val="24"/>
          <w:szCs w:val="24"/>
          <w:highlight w:val="none"/>
          <w:lang w:eastAsia="zh-CN"/>
          <w14:textFill>
            <w14:solidFill>
              <w14:schemeClr w14:val="tx1"/>
            </w14:solidFill>
          </w14:textFill>
        </w:rPr>
        <w:t>“三区三线”</w:t>
      </w:r>
      <w:r>
        <w:rPr>
          <w:rFonts w:hint="eastAsia"/>
          <w:color w:val="000000" w:themeColor="text1"/>
          <w:sz w:val="24"/>
          <w:szCs w:val="24"/>
          <w:highlight w:val="none"/>
          <w14:textFill>
            <w14:solidFill>
              <w14:schemeClr w14:val="tx1"/>
            </w14:solidFill>
          </w14:textFill>
        </w:rPr>
        <w:t>划定成果的说明</w:t>
      </w:r>
    </w:p>
    <w:p w14:paraId="5B36EAEC">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附件4 关于地性质调整事宜的说明</w:t>
      </w:r>
    </w:p>
    <w:p w14:paraId="78CB97FB">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附件5 租赁合同</w:t>
      </w:r>
    </w:p>
    <w:p w14:paraId="6C62F97C">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附件6 补充监测</w:t>
      </w:r>
    </w:p>
    <w:p w14:paraId="19D9DFED">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附件7 食品厂意见调查</w:t>
      </w:r>
      <w:bookmarkStart w:id="20" w:name="_GoBack"/>
      <w:bookmarkEnd w:id="20"/>
    </w:p>
    <w:p w14:paraId="29626291">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附件8 项目不涉及基本草原，自然保护区的说明</w:t>
      </w:r>
    </w:p>
    <w:p w14:paraId="46225C1F">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附件9 空间规划调整前不建设的承诺</w:t>
      </w:r>
    </w:p>
    <w:p w14:paraId="2DE8E615">
      <w:pPr>
        <w:spacing w:line="360" w:lineRule="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 xml:space="preserve">附件10 执行标准 </w:t>
      </w:r>
    </w:p>
    <w:p w14:paraId="53B66DE4">
      <w:pPr>
        <w:spacing w:line="360" w:lineRule="auto"/>
        <w:rPr>
          <w:rFonts w:hint="eastAsia"/>
          <w:color w:val="000000" w:themeColor="text1"/>
          <w:sz w:val="24"/>
          <w:szCs w:val="24"/>
          <w:highlight w:val="none"/>
          <w14:textFill>
            <w14:solidFill>
              <w14:schemeClr w14:val="tx1"/>
            </w14:solidFill>
          </w14:textFill>
        </w:rPr>
      </w:pPr>
    </w:p>
    <w:p w14:paraId="39551302">
      <w:pPr>
        <w:spacing w:line="360" w:lineRule="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w:t>
      </w:r>
    </w:p>
    <w:p w14:paraId="31FC8957">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附图1 项目所在地理位置图</w:t>
      </w:r>
    </w:p>
    <w:p w14:paraId="101914F5">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附图2 项目与甘孜州生态空间管控单元相对位置关系图</w:t>
      </w:r>
    </w:p>
    <w:p w14:paraId="44794277">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附图3 项目与甘孜州生态红线相对位置关系图</w:t>
      </w:r>
    </w:p>
    <w:p w14:paraId="5F8A0BBF">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附图4 外环境关系图</w:t>
      </w:r>
    </w:p>
    <w:p w14:paraId="109F3E91">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附图6 监测点位图</w:t>
      </w:r>
    </w:p>
    <w:p w14:paraId="6D38266F">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textAlignment w:val="auto"/>
        <w:rPr>
          <w:rFonts w:hint="default" w:ascii="Times New Roman" w:hAnsi="Times New Roman" w:eastAsia="楷体_GB2312" w:cs="Times New Roman"/>
          <w:bCs w:val="0"/>
          <w:color w:val="000000" w:themeColor="text1"/>
          <w:kern w:val="2"/>
          <w:sz w:val="21"/>
          <w:szCs w:val="40"/>
          <w:highlight w:val="none"/>
          <w:lang w:val="en-US" w:eastAsia="zh-CN" w:bidi="ar-SA"/>
          <w14:textFill>
            <w14:solidFill>
              <w14:schemeClr w14:val="tx1"/>
            </w14:solidFill>
          </w14:textFill>
        </w:rPr>
      </w:pPr>
    </w:p>
    <w:p w14:paraId="02DC409E">
      <w:pP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br w:type="page"/>
      </w:r>
    </w:p>
    <w:p w14:paraId="0528B10F">
      <w:pPr>
        <w:pStyle w:val="40"/>
        <w:rPr>
          <w:rFonts w:hint="default"/>
          <w:color w:val="000000" w:themeColor="text1"/>
          <w:highlight w:val="none"/>
          <w14:textFill>
            <w14:solidFill>
              <w14:schemeClr w14:val="tx1"/>
            </w14:solidFill>
          </w14:textFill>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14:paraId="09B2F2F7">
      <w:pPr>
        <w:spacing w:beforeLines="0" w:afterLines="0" w:line="360" w:lineRule="auto"/>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bookmarkStart w:id="0" w:name="_Toc28977"/>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一、建设项目基本情况</w:t>
      </w:r>
      <w:bookmarkEnd w:id="0"/>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2"/>
        <w:gridCol w:w="491"/>
        <w:gridCol w:w="2629"/>
        <w:gridCol w:w="1621"/>
        <w:gridCol w:w="3139"/>
      </w:tblGrid>
      <w:tr w14:paraId="18E6D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1" w:hRule="atLeast"/>
          <w:jc w:val="center"/>
        </w:trPr>
        <w:tc>
          <w:tcPr>
            <w:tcW w:w="736" w:type="pct"/>
            <w:gridSpan w:val="2"/>
            <w:noWrap w:val="0"/>
            <w:tcMar>
              <w:top w:w="16" w:type="dxa"/>
              <w:left w:w="16" w:type="dxa"/>
              <w:right w:w="16" w:type="dxa"/>
            </w:tcMar>
            <w:vAlign w:val="center"/>
          </w:tcPr>
          <w:p w14:paraId="2600447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建设项目名称</w:t>
            </w:r>
          </w:p>
        </w:tc>
        <w:tc>
          <w:tcPr>
            <w:tcW w:w="4263" w:type="pct"/>
            <w:gridSpan w:val="3"/>
            <w:noWrap w:val="0"/>
            <w:vAlign w:val="center"/>
          </w:tcPr>
          <w:p w14:paraId="5B0166DD">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甘孜州圣洁康巴砼业有限责任公司商砼站建设项目</w:t>
            </w:r>
          </w:p>
        </w:tc>
      </w:tr>
      <w:tr w14:paraId="4EF4C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36" w:type="pct"/>
            <w:gridSpan w:val="2"/>
            <w:noWrap w:val="0"/>
            <w:tcMar>
              <w:top w:w="16" w:type="dxa"/>
              <w:left w:w="16" w:type="dxa"/>
              <w:right w:w="16" w:type="dxa"/>
            </w:tcMar>
            <w:vAlign w:val="center"/>
          </w:tcPr>
          <w:p w14:paraId="558B5B5F">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项目代码</w:t>
            </w:r>
          </w:p>
        </w:tc>
        <w:tc>
          <w:tcPr>
            <w:tcW w:w="4263" w:type="pct"/>
            <w:gridSpan w:val="3"/>
            <w:noWrap w:val="0"/>
            <w:vAlign w:val="center"/>
          </w:tcPr>
          <w:p w14:paraId="4B2C0C35">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2410-513328-04-01-858432</w:t>
            </w:r>
          </w:p>
        </w:tc>
      </w:tr>
      <w:tr w14:paraId="55C78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0A19411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建设单位联系人</w:t>
            </w:r>
          </w:p>
        </w:tc>
        <w:tc>
          <w:tcPr>
            <w:tcW w:w="1552" w:type="pct"/>
            <w:noWrap w:val="0"/>
            <w:vAlign w:val="center"/>
          </w:tcPr>
          <w:p w14:paraId="5E4F5FE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罗绒多吉</w:t>
            </w:r>
          </w:p>
        </w:tc>
        <w:tc>
          <w:tcPr>
            <w:tcW w:w="957" w:type="pct"/>
            <w:noWrap w:val="0"/>
            <w:vAlign w:val="center"/>
          </w:tcPr>
          <w:p w14:paraId="10C33FA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联系方式</w:t>
            </w:r>
          </w:p>
        </w:tc>
        <w:tc>
          <w:tcPr>
            <w:tcW w:w="1753" w:type="pct"/>
            <w:noWrap w:val="0"/>
            <w:vAlign w:val="center"/>
          </w:tcPr>
          <w:p w14:paraId="0A3917D2">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13154414440</w:t>
            </w:r>
          </w:p>
        </w:tc>
      </w:tr>
      <w:tr w14:paraId="2495D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0DEF81BC">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建设地点</w:t>
            </w:r>
          </w:p>
        </w:tc>
        <w:tc>
          <w:tcPr>
            <w:tcW w:w="4263" w:type="pct"/>
            <w:gridSpan w:val="3"/>
            <w:noWrap w:val="0"/>
            <w:vAlign w:val="center"/>
          </w:tcPr>
          <w:p w14:paraId="12D07240">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四川省甘孜藏族自治州甘孜镇斯俄村新改317公路西北侧</w:t>
            </w:r>
          </w:p>
        </w:tc>
      </w:tr>
      <w:tr w14:paraId="12770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7DC7A7C0">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地理坐标</w:t>
            </w:r>
          </w:p>
        </w:tc>
        <w:tc>
          <w:tcPr>
            <w:tcW w:w="4263" w:type="pct"/>
            <w:gridSpan w:val="3"/>
            <w:noWrap w:val="0"/>
            <w:vAlign w:val="center"/>
          </w:tcPr>
          <w:p w14:paraId="621DCD5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东经100°00′55.55″，北纬31°37′10.08″</w:t>
            </w:r>
          </w:p>
        </w:tc>
      </w:tr>
      <w:tr w14:paraId="55F4C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736" w:type="pct"/>
            <w:gridSpan w:val="2"/>
            <w:noWrap w:val="0"/>
            <w:tcMar>
              <w:top w:w="16" w:type="dxa"/>
              <w:left w:w="16" w:type="dxa"/>
              <w:right w:w="16" w:type="dxa"/>
            </w:tcMar>
            <w:vAlign w:val="center"/>
          </w:tcPr>
          <w:p w14:paraId="0DBAA6B4">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国民经济</w:t>
            </w:r>
          </w:p>
          <w:p w14:paraId="1E716EF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行业类别</w:t>
            </w:r>
          </w:p>
        </w:tc>
        <w:tc>
          <w:tcPr>
            <w:tcW w:w="1552" w:type="pct"/>
            <w:noWrap w:val="0"/>
            <w:vAlign w:val="center"/>
          </w:tcPr>
          <w:p w14:paraId="46B72F25">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C3021 水泥制品制造</w:t>
            </w:r>
          </w:p>
        </w:tc>
        <w:tc>
          <w:tcPr>
            <w:tcW w:w="957" w:type="pct"/>
            <w:noWrap w:val="0"/>
            <w:vAlign w:val="center"/>
          </w:tcPr>
          <w:p w14:paraId="6CAF72D2">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1" w:name="_Hlk49843745"/>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建设项目</w:t>
            </w:r>
          </w:p>
          <w:p w14:paraId="5B9E465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行业类别</w:t>
            </w:r>
            <w:bookmarkEnd w:id="1"/>
          </w:p>
        </w:tc>
        <w:tc>
          <w:tcPr>
            <w:tcW w:w="1753" w:type="pct"/>
            <w:noWrap w:val="0"/>
            <w:vAlign w:val="center"/>
          </w:tcPr>
          <w:p w14:paraId="2A28621A">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二十七、 非金属矿物制品业30——55 石膏、 水泥制品及类似制品制造 302——商品混凝土； 水泥制品制造</w:t>
            </w:r>
          </w:p>
        </w:tc>
      </w:tr>
      <w:tr w14:paraId="06727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736" w:type="pct"/>
            <w:gridSpan w:val="2"/>
            <w:noWrap w:val="0"/>
            <w:tcMar>
              <w:top w:w="16" w:type="dxa"/>
              <w:left w:w="16" w:type="dxa"/>
              <w:right w:w="16" w:type="dxa"/>
            </w:tcMar>
            <w:vAlign w:val="center"/>
          </w:tcPr>
          <w:p w14:paraId="05A7AC11">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建设性质</w:t>
            </w:r>
          </w:p>
        </w:tc>
        <w:tc>
          <w:tcPr>
            <w:tcW w:w="1552" w:type="pct"/>
            <w:noWrap w:val="0"/>
            <w:vAlign w:val="center"/>
          </w:tcPr>
          <w:p w14:paraId="082A130C">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新建（迁建）</w:t>
            </w:r>
          </w:p>
          <w:p w14:paraId="1F95F7B4">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14:paraId="7115BF23">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14:paraId="7822AFDF">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957" w:type="pct"/>
            <w:noWrap w:val="0"/>
            <w:vAlign w:val="center"/>
          </w:tcPr>
          <w:p w14:paraId="4B44EB9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建设项目</w:t>
            </w:r>
          </w:p>
          <w:p w14:paraId="5AB8A522">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申报情形</w:t>
            </w:r>
          </w:p>
        </w:tc>
        <w:tc>
          <w:tcPr>
            <w:tcW w:w="1753" w:type="pct"/>
            <w:noWrap w:val="0"/>
            <w:vAlign w:val="center"/>
          </w:tcPr>
          <w:p w14:paraId="4BB822C3">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首次申报项目</w:t>
            </w:r>
          </w:p>
          <w:p w14:paraId="3ECCA134">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14:paraId="6FDFB48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超五年重新审核项目</w:t>
            </w:r>
          </w:p>
          <w:p w14:paraId="5B15AED6">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14:paraId="604F0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736" w:type="pct"/>
            <w:gridSpan w:val="2"/>
            <w:noWrap w:val="0"/>
            <w:tcMar>
              <w:top w:w="16" w:type="dxa"/>
              <w:left w:w="16" w:type="dxa"/>
              <w:right w:w="16" w:type="dxa"/>
            </w:tcMar>
            <w:vAlign w:val="center"/>
          </w:tcPr>
          <w:p w14:paraId="42E5FCB3">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项目审批（核准/备案）部门（选填）</w:t>
            </w:r>
          </w:p>
        </w:tc>
        <w:tc>
          <w:tcPr>
            <w:tcW w:w="1552" w:type="pct"/>
            <w:noWrap w:val="0"/>
            <w:vAlign w:val="center"/>
          </w:tcPr>
          <w:p w14:paraId="4EDE7DA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甘孜县发展和改革局</w:t>
            </w:r>
          </w:p>
        </w:tc>
        <w:tc>
          <w:tcPr>
            <w:tcW w:w="957" w:type="pct"/>
            <w:noWrap w:val="0"/>
            <w:vAlign w:val="center"/>
          </w:tcPr>
          <w:p w14:paraId="1C5DF07F">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项目审批（核准/备案）文号（选填）</w:t>
            </w:r>
          </w:p>
        </w:tc>
        <w:tc>
          <w:tcPr>
            <w:tcW w:w="1753" w:type="pct"/>
            <w:noWrap w:val="0"/>
            <w:vAlign w:val="center"/>
          </w:tcPr>
          <w:p w14:paraId="6EA3709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川投资备【2410-513328-04-01-858432】FGQB-0009 号</w:t>
            </w:r>
          </w:p>
        </w:tc>
      </w:tr>
      <w:tr w14:paraId="6C276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525FDD82">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总投资（万元）</w:t>
            </w:r>
          </w:p>
        </w:tc>
        <w:tc>
          <w:tcPr>
            <w:tcW w:w="1552" w:type="pct"/>
            <w:noWrap w:val="0"/>
            <w:vAlign w:val="center"/>
          </w:tcPr>
          <w:p w14:paraId="4A4C9B43">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1500</w:t>
            </w:r>
          </w:p>
        </w:tc>
        <w:tc>
          <w:tcPr>
            <w:tcW w:w="957" w:type="pct"/>
            <w:noWrap w:val="0"/>
            <w:tcMar>
              <w:top w:w="16" w:type="dxa"/>
              <w:left w:w="16" w:type="dxa"/>
              <w:right w:w="16" w:type="dxa"/>
            </w:tcMar>
            <w:vAlign w:val="center"/>
          </w:tcPr>
          <w:p w14:paraId="4A883769">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环保投资（万元）</w:t>
            </w:r>
          </w:p>
        </w:tc>
        <w:tc>
          <w:tcPr>
            <w:tcW w:w="1753" w:type="pct"/>
            <w:noWrap w:val="0"/>
            <w:vAlign w:val="center"/>
          </w:tcPr>
          <w:p w14:paraId="05C9545C">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43</w:t>
            </w:r>
          </w:p>
        </w:tc>
      </w:tr>
      <w:tr w14:paraId="3BF8C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4F9054B3">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环保投资占比（%）</w:t>
            </w:r>
          </w:p>
        </w:tc>
        <w:tc>
          <w:tcPr>
            <w:tcW w:w="1552" w:type="pct"/>
            <w:noWrap w:val="0"/>
            <w:vAlign w:val="center"/>
          </w:tcPr>
          <w:p w14:paraId="792F50E6">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2.87</w:t>
            </w:r>
          </w:p>
        </w:tc>
        <w:tc>
          <w:tcPr>
            <w:tcW w:w="957" w:type="pct"/>
            <w:noWrap w:val="0"/>
            <w:tcMar>
              <w:top w:w="16" w:type="dxa"/>
              <w:left w:w="16" w:type="dxa"/>
              <w:right w:w="16" w:type="dxa"/>
            </w:tcMar>
            <w:vAlign w:val="center"/>
          </w:tcPr>
          <w:p w14:paraId="2C83DF46">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施工工期</w:t>
            </w:r>
          </w:p>
        </w:tc>
        <w:tc>
          <w:tcPr>
            <w:tcW w:w="1753" w:type="pct"/>
            <w:noWrap w:val="0"/>
            <w:vAlign w:val="center"/>
          </w:tcPr>
          <w:p w14:paraId="2F25B3F5">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5个月</w:t>
            </w:r>
          </w:p>
        </w:tc>
      </w:tr>
      <w:tr w14:paraId="29D89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6" w:type="pct"/>
            <w:gridSpan w:val="2"/>
            <w:noWrap w:val="0"/>
            <w:tcMar>
              <w:top w:w="16" w:type="dxa"/>
              <w:left w:w="16" w:type="dxa"/>
              <w:right w:w="16" w:type="dxa"/>
            </w:tcMar>
            <w:vAlign w:val="center"/>
          </w:tcPr>
          <w:p w14:paraId="4AE4100A">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是否开工建设</w:t>
            </w:r>
          </w:p>
        </w:tc>
        <w:tc>
          <w:tcPr>
            <w:tcW w:w="1552" w:type="pct"/>
            <w:noWrap w:val="0"/>
            <w:vAlign w:val="center"/>
          </w:tcPr>
          <w:p w14:paraId="6A129F97">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否</w:t>
            </w:r>
          </w:p>
          <w:p w14:paraId="2488D11B">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r>
              <w:rPr>
                <w:rFonts w:hint="default"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 xml:space="preserve">             </w:t>
            </w:r>
          </w:p>
        </w:tc>
        <w:tc>
          <w:tcPr>
            <w:tcW w:w="957" w:type="pct"/>
            <w:noWrap w:val="0"/>
            <w:tcMar>
              <w:top w:w="16" w:type="dxa"/>
              <w:left w:w="16" w:type="dxa"/>
              <w:right w:w="16" w:type="dxa"/>
            </w:tcMar>
            <w:vAlign w:val="center"/>
          </w:tcPr>
          <w:p w14:paraId="47B64107">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用地（用海）</w:t>
            </w:r>
          </w:p>
          <w:p w14:paraId="6758A9E1">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面积（</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p>
        </w:tc>
        <w:tc>
          <w:tcPr>
            <w:tcW w:w="1753" w:type="pct"/>
            <w:noWrap w:val="0"/>
            <w:vAlign w:val="center"/>
          </w:tcPr>
          <w:p w14:paraId="2664C936">
            <w:pPr>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8000</w:t>
            </w:r>
          </w:p>
        </w:tc>
      </w:tr>
      <w:tr w14:paraId="4E4C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36" w:type="pct"/>
            <w:gridSpan w:val="2"/>
            <w:noWrap w:val="0"/>
            <w:vAlign w:val="center"/>
          </w:tcPr>
          <w:p w14:paraId="1D751AFE">
            <w:pPr>
              <w:keepNext w:val="0"/>
              <w:keepLines w:val="0"/>
              <w:pageBreakBefore w:val="0"/>
              <w:kinsoku/>
              <w:wordWrap/>
              <w:overflowPunct/>
              <w:autoSpaceDE w:val="0"/>
              <w:autoSpaceDN w:val="0"/>
              <w:bidi w:val="0"/>
              <w:adjustRightInd/>
              <w:snapToGrid/>
              <w:spacing w:beforeLines="0" w:beforeAutospacing="0" w:afterLines="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专项评价设置情况</w:t>
            </w:r>
          </w:p>
        </w:tc>
        <w:tc>
          <w:tcPr>
            <w:tcW w:w="4263" w:type="pct"/>
            <w:gridSpan w:val="3"/>
            <w:noWrap w:val="0"/>
            <w:vAlign w:val="center"/>
          </w:tcPr>
          <w:p w14:paraId="7E54C201">
            <w:pPr>
              <w:keepNext w:val="0"/>
              <w:keepLines w:val="0"/>
              <w:pageBreakBefore w:val="0"/>
              <w:widowControl w:val="0"/>
              <w:kinsoku/>
              <w:wordWrap/>
              <w:overflowPunct/>
              <w:topLinePunct w:val="0"/>
              <w:autoSpaceDE w:val="0"/>
              <w:autoSpaceDN w:val="0"/>
              <w:bidi w:val="0"/>
              <w:adjustRightInd w:val="0"/>
              <w:snapToGrid w:val="0"/>
              <w:spacing w:before="0" w:beforeLines="0" w:afterLines="0" w:line="360" w:lineRule="auto"/>
              <w:ind w:firstLine="480" w:firstLineChars="200"/>
              <w:textAlignment w:val="auto"/>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根据《建设项目环境影响报告表编制技术指南（污染影响类）》（试行），本项目专项评价设置情况分析见下表。</w:t>
            </w:r>
          </w:p>
          <w:p w14:paraId="0BF60A3B">
            <w:pPr>
              <w:numPr>
                <w:ilvl w:val="-1"/>
                <w:numId w:val="0"/>
              </w:numPr>
              <w:autoSpaceDE w:val="0"/>
              <w:autoSpaceDN w:val="0"/>
              <w:adjustRightInd w:val="0"/>
              <w:snapToGrid w:val="0"/>
              <w:spacing w:beforeLines="0" w:afterLines="0"/>
              <w:ind w:left="0" w:leftChars="0" w:firstLine="0" w:firstLineChars="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表1-1</w:t>
            </w:r>
            <w:r>
              <w:rPr>
                <w:rFonts w:hint="default" w:ascii="Times New Roman" w:hAnsi="Times New Roman" w:cs="Times New Roman"/>
                <w:b/>
                <w:bCs/>
                <w:color w:val="000000" w:themeColor="text1"/>
                <w:kern w:val="0"/>
                <w:sz w:val="24"/>
                <w:szCs w:val="24"/>
                <w:highlight w:val="none"/>
                <w14:textFill>
                  <w14:solidFill>
                    <w14:schemeClr w14:val="tx1"/>
                  </w14:solidFill>
                </w14:textFill>
              </w:rPr>
              <w:t>专项评价设置情况一览表</w:t>
            </w:r>
          </w:p>
          <w:tbl>
            <w:tblPr>
              <w:tblStyle w:val="3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00"/>
              <w:gridCol w:w="2885"/>
              <w:gridCol w:w="3188"/>
            </w:tblGrid>
            <w:tr w14:paraId="5A33A9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7" w:type="pct"/>
                  <w:tcBorders>
                    <w:tl2br w:val="nil"/>
                    <w:tr2bl w:val="nil"/>
                  </w:tcBorders>
                  <w:shd w:val="clear" w:color="auto" w:fill="auto"/>
                  <w:noWrap w:val="0"/>
                  <w:vAlign w:val="center"/>
                </w:tcPr>
                <w:p w14:paraId="00FBB782">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专项评价的类别</w:t>
                  </w:r>
                </w:p>
              </w:tc>
              <w:tc>
                <w:tcPr>
                  <w:tcW w:w="2011" w:type="pct"/>
                  <w:tcBorders>
                    <w:tl2br w:val="nil"/>
                    <w:tr2bl w:val="nil"/>
                  </w:tcBorders>
                  <w:shd w:val="clear" w:color="auto" w:fill="auto"/>
                  <w:noWrap w:val="0"/>
                  <w:vAlign w:val="center"/>
                </w:tcPr>
                <w:p w14:paraId="6683226E">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设置原则</w:t>
                  </w:r>
                </w:p>
              </w:tc>
              <w:tc>
                <w:tcPr>
                  <w:tcW w:w="2221" w:type="pct"/>
                  <w:tcBorders>
                    <w:tl2br w:val="nil"/>
                    <w:tr2bl w:val="nil"/>
                  </w:tcBorders>
                  <w:shd w:val="clear" w:color="auto" w:fill="auto"/>
                  <w:noWrap w:val="0"/>
                  <w:vAlign w:val="center"/>
                </w:tcPr>
                <w:p w14:paraId="44B2D058">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专项设置情况</w:t>
                  </w:r>
                </w:p>
              </w:tc>
            </w:tr>
            <w:tr w14:paraId="069D90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767" w:type="pct"/>
                  <w:tcBorders>
                    <w:tl2br w:val="nil"/>
                    <w:tr2bl w:val="nil"/>
                  </w:tcBorders>
                  <w:shd w:val="clear" w:color="auto" w:fill="auto"/>
                  <w:noWrap w:val="0"/>
                  <w:vAlign w:val="center"/>
                </w:tcPr>
                <w:p w14:paraId="4C697B27">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大气</w:t>
                  </w:r>
                </w:p>
              </w:tc>
              <w:tc>
                <w:tcPr>
                  <w:tcW w:w="2011" w:type="pct"/>
                  <w:tcBorders>
                    <w:tl2br w:val="nil"/>
                    <w:tr2bl w:val="nil"/>
                  </w:tcBorders>
                  <w:shd w:val="clear" w:color="auto" w:fill="auto"/>
                  <w:noWrap w:val="0"/>
                  <w:vAlign w:val="center"/>
                </w:tcPr>
                <w:p w14:paraId="28A68858">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排放废气含有毒有害污染物1、二噁英、苯并[a]芘、氰化物、氯气且厂界外500米范围内有环境空气保护目标的建设项目</w:t>
                  </w:r>
                </w:p>
              </w:tc>
              <w:tc>
                <w:tcPr>
                  <w:tcW w:w="2221" w:type="pct"/>
                  <w:tcBorders>
                    <w:tl2br w:val="nil"/>
                    <w:tr2bl w:val="nil"/>
                  </w:tcBorders>
                  <w:shd w:val="clear" w:color="auto" w:fill="auto"/>
                  <w:noWrap w:val="0"/>
                  <w:vAlign w:val="center"/>
                </w:tcPr>
                <w:p w14:paraId="27357661">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本项目不</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涉及</w:t>
                  </w:r>
                  <w:r>
                    <w:rPr>
                      <w:rFonts w:hint="default" w:ascii="Times New Roman" w:hAnsi="Times New Roman" w:cs="Times New Roman"/>
                      <w:color w:val="000000" w:themeColor="text1"/>
                      <w:kern w:val="0"/>
                      <w:sz w:val="21"/>
                      <w:szCs w:val="21"/>
                      <w:highlight w:val="none"/>
                      <w14:textFill>
                        <w14:solidFill>
                          <w14:schemeClr w14:val="tx1"/>
                        </w14:solidFill>
                      </w14:textFill>
                    </w:rPr>
                    <w:t>排放有毒有害污染物及</w:t>
                  </w:r>
                  <w:r>
                    <w:rPr>
                      <w:rFonts w:ascii="Times New Roman" w:hAnsi="Times New Roman" w:cs="Times New Roman"/>
                      <w:color w:val="000000" w:themeColor="text1"/>
                      <w:kern w:val="0"/>
                      <w:sz w:val="21"/>
                      <w:szCs w:val="21"/>
                      <w:highlight w:val="none"/>
                      <w14:textFill>
                        <w14:solidFill>
                          <w14:schemeClr w14:val="tx1"/>
                        </w14:solidFill>
                      </w14:textFill>
                    </w:rPr>
                    <w:t>二噁英、苯并[a]芘、氰化物、氯气</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等</w:t>
                  </w:r>
                  <w:r>
                    <w:rPr>
                      <w:rFonts w:hint="default" w:ascii="Times New Roman" w:hAnsi="Times New Roman" w:cs="Times New Roman"/>
                      <w:color w:val="000000" w:themeColor="text1"/>
                      <w:kern w:val="0"/>
                      <w:sz w:val="21"/>
                      <w:szCs w:val="21"/>
                      <w:highlight w:val="none"/>
                      <w14:textFill>
                        <w14:solidFill>
                          <w14:schemeClr w14:val="tx1"/>
                        </w14:solidFill>
                      </w14:textFill>
                    </w:rPr>
                    <w:t>物质，不需要做大气专项评价</w:t>
                  </w:r>
                </w:p>
              </w:tc>
            </w:tr>
            <w:tr w14:paraId="252CD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767" w:type="pct"/>
                  <w:tcBorders>
                    <w:tl2br w:val="nil"/>
                    <w:tr2bl w:val="nil"/>
                  </w:tcBorders>
                  <w:shd w:val="clear" w:color="auto" w:fill="auto"/>
                  <w:noWrap w:val="0"/>
                  <w:vAlign w:val="center"/>
                </w:tcPr>
                <w:p w14:paraId="78FA2DF1">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地表水</w:t>
                  </w:r>
                </w:p>
              </w:tc>
              <w:tc>
                <w:tcPr>
                  <w:tcW w:w="2011" w:type="pct"/>
                  <w:tcBorders>
                    <w:tl2br w:val="nil"/>
                    <w:tr2bl w:val="nil"/>
                  </w:tcBorders>
                  <w:shd w:val="clear" w:color="auto" w:fill="auto"/>
                  <w:noWrap w:val="0"/>
                  <w:vAlign w:val="center"/>
                </w:tcPr>
                <w:p w14:paraId="1AC27E6D">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新增工业废水直排建设项目（槽罐车外送污水处理厂的除外）；</w:t>
                  </w:r>
                </w:p>
                <w:p w14:paraId="1735EDDF">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新增废水直排的污水集中处理厂</w:t>
                  </w:r>
                </w:p>
              </w:tc>
              <w:tc>
                <w:tcPr>
                  <w:tcW w:w="2221" w:type="pct"/>
                  <w:tcBorders>
                    <w:tl2br w:val="nil"/>
                    <w:tr2bl w:val="nil"/>
                  </w:tcBorders>
                  <w:shd w:val="clear" w:color="auto" w:fill="auto"/>
                  <w:noWrap w:val="0"/>
                  <w:vAlign w:val="center"/>
                </w:tcPr>
                <w:p w14:paraId="60418431">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本项目产生的</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生产</w:t>
                  </w:r>
                  <w:r>
                    <w:rPr>
                      <w:rFonts w:hint="default" w:ascii="Times New Roman" w:hAnsi="Times New Roman" w:cs="Times New Roman"/>
                      <w:color w:val="000000" w:themeColor="text1"/>
                      <w:kern w:val="0"/>
                      <w:sz w:val="21"/>
                      <w:szCs w:val="21"/>
                      <w:highlight w:val="none"/>
                      <w14:textFill>
                        <w14:solidFill>
                          <w14:schemeClr w14:val="tx1"/>
                        </w14:solidFill>
                      </w14:textFill>
                    </w:rPr>
                    <w:t>废水</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回用生产不外排，生活污水</w:t>
                  </w:r>
                  <w:r>
                    <w:rPr>
                      <w:rFonts w:hint="eastAsia" w:cs="Times New Roman"/>
                      <w:color w:val="000000" w:themeColor="text1"/>
                      <w:kern w:val="0"/>
                      <w:sz w:val="21"/>
                      <w:szCs w:val="21"/>
                      <w:highlight w:val="none"/>
                      <w:lang w:val="en-US" w:eastAsia="zh-CN"/>
                      <w14:textFill>
                        <w14:solidFill>
                          <w14:schemeClr w14:val="tx1"/>
                        </w14:solidFill>
                      </w14:textFill>
                    </w:rPr>
                    <w:t>进入甘孜县县城污水处理厂</w:t>
                  </w:r>
                  <w:r>
                    <w:rPr>
                      <w:rFonts w:hint="default" w:ascii="Times New Roman" w:hAnsi="Times New Roman" w:cs="Times New Roman"/>
                      <w:color w:val="000000" w:themeColor="text1"/>
                      <w:kern w:val="0"/>
                      <w:sz w:val="21"/>
                      <w:szCs w:val="21"/>
                      <w:highlight w:val="none"/>
                      <w14:textFill>
                        <w14:solidFill>
                          <w14:schemeClr w14:val="tx1"/>
                        </w14:solidFill>
                      </w14:textFill>
                    </w:rPr>
                    <w:t>，不需要做专项评价</w:t>
                  </w:r>
                </w:p>
              </w:tc>
            </w:tr>
            <w:tr w14:paraId="2105BB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767" w:type="pct"/>
                  <w:tcBorders>
                    <w:tl2br w:val="nil"/>
                    <w:tr2bl w:val="nil"/>
                  </w:tcBorders>
                  <w:shd w:val="clear" w:color="auto" w:fill="auto"/>
                  <w:noWrap w:val="0"/>
                  <w:vAlign w:val="center"/>
                </w:tcPr>
                <w:p w14:paraId="6A3140E6">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环境风险</w:t>
                  </w:r>
                </w:p>
              </w:tc>
              <w:tc>
                <w:tcPr>
                  <w:tcW w:w="2011" w:type="pct"/>
                  <w:tcBorders>
                    <w:tl2br w:val="nil"/>
                    <w:tr2bl w:val="nil"/>
                  </w:tcBorders>
                  <w:shd w:val="clear" w:color="auto" w:fill="auto"/>
                  <w:noWrap w:val="0"/>
                  <w:vAlign w:val="center"/>
                </w:tcPr>
                <w:p w14:paraId="2BEC121E">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有毒有害和易燃易爆危险物质存储量超过临界量</w:t>
                  </w:r>
                  <w:r>
                    <w:rPr>
                      <w:rFonts w:ascii="Times New Roman" w:hAnsi="Times New Roman" w:cs="Times New Roman"/>
                      <w:color w:val="000000" w:themeColor="text1"/>
                      <w:kern w:val="0"/>
                      <w:sz w:val="21"/>
                      <w:szCs w:val="21"/>
                      <w:highlight w:val="none"/>
                      <w:vertAlign w:val="superscript"/>
                      <w14:textFill>
                        <w14:solidFill>
                          <w14:schemeClr w14:val="tx1"/>
                        </w14:solidFill>
                      </w14:textFill>
                    </w:rPr>
                    <w:t>3</w:t>
                  </w:r>
                  <w:r>
                    <w:rPr>
                      <w:rFonts w:ascii="Times New Roman" w:hAnsi="Times New Roman" w:cs="Times New Roman"/>
                      <w:color w:val="000000" w:themeColor="text1"/>
                      <w:kern w:val="0"/>
                      <w:sz w:val="21"/>
                      <w:szCs w:val="21"/>
                      <w:highlight w:val="none"/>
                      <w14:textFill>
                        <w14:solidFill>
                          <w14:schemeClr w14:val="tx1"/>
                        </w14:solidFill>
                      </w14:textFill>
                    </w:rPr>
                    <w:t>的建设项目</w:t>
                  </w:r>
                </w:p>
              </w:tc>
              <w:tc>
                <w:tcPr>
                  <w:tcW w:w="2221" w:type="pct"/>
                  <w:tcBorders>
                    <w:tl2br w:val="nil"/>
                    <w:tr2bl w:val="nil"/>
                  </w:tcBorders>
                  <w:shd w:val="clear" w:color="auto" w:fill="auto"/>
                  <w:noWrap w:val="0"/>
                  <w:vAlign w:val="center"/>
                </w:tcPr>
                <w:p w14:paraId="11C7A875">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本项目风险物质数量与临界量的比值</w:t>
                  </w:r>
                  <w:r>
                    <w:rPr>
                      <w:rFonts w:hint="default" w:ascii="Times New Roman" w:hAnsi="Times New Roman" w:cs="Times New Roman"/>
                      <w:color w:val="000000" w:themeColor="text1"/>
                      <w:kern w:val="0"/>
                      <w:sz w:val="21"/>
                      <w:szCs w:val="21"/>
                      <w:highlight w:val="none"/>
                      <w14:textFill>
                        <w14:solidFill>
                          <w14:schemeClr w14:val="tx1"/>
                        </w14:solidFill>
                      </w14:textFill>
                    </w:rPr>
                    <w:t>Q&lt;1，未超过临界量，不做专项评价</w:t>
                  </w:r>
                </w:p>
              </w:tc>
            </w:tr>
            <w:tr w14:paraId="443E0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67" w:type="pct"/>
                  <w:tcBorders>
                    <w:tl2br w:val="nil"/>
                    <w:tr2bl w:val="nil"/>
                  </w:tcBorders>
                  <w:shd w:val="clear" w:color="auto" w:fill="auto"/>
                  <w:noWrap w:val="0"/>
                  <w:vAlign w:val="center"/>
                </w:tcPr>
                <w:p w14:paraId="562C5F0E">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生态</w:t>
                  </w:r>
                </w:p>
              </w:tc>
              <w:tc>
                <w:tcPr>
                  <w:tcW w:w="2011" w:type="pct"/>
                  <w:tcBorders>
                    <w:tl2br w:val="nil"/>
                    <w:tr2bl w:val="nil"/>
                  </w:tcBorders>
                  <w:shd w:val="clear" w:color="auto" w:fill="auto"/>
                  <w:noWrap w:val="0"/>
                  <w:vAlign w:val="center"/>
                </w:tcPr>
                <w:p w14:paraId="72D78608">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取水口下游500米范围内有重要水生物的自然产卵场、索饵场、越冬场和洄游通道的新增河道取水的污染类建设项目</w:t>
                  </w:r>
                </w:p>
              </w:tc>
              <w:tc>
                <w:tcPr>
                  <w:tcW w:w="2221" w:type="pct"/>
                  <w:tcBorders>
                    <w:tl2br w:val="nil"/>
                    <w:tr2bl w:val="nil"/>
                  </w:tcBorders>
                  <w:shd w:val="clear" w:color="auto" w:fill="auto"/>
                  <w:noWrap w:val="0"/>
                  <w:vAlign w:val="center"/>
                </w:tcPr>
                <w:p w14:paraId="10D97209">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本项目用水来自市政管网，不属于河道取水的污染类项目</w:t>
                  </w:r>
                  <w:r>
                    <w:rPr>
                      <w:rFonts w:hint="default" w:ascii="Times New Roman" w:hAnsi="Times New Roman" w:cs="Times New Roman"/>
                      <w:color w:val="000000" w:themeColor="text1"/>
                      <w:sz w:val="21"/>
                      <w:szCs w:val="21"/>
                      <w:highlight w:val="none"/>
                      <w14:textFill>
                        <w14:solidFill>
                          <w14:schemeClr w14:val="tx1"/>
                        </w14:solidFill>
                      </w14:textFill>
                    </w:rPr>
                    <w:t>，不设置专项评价</w:t>
                  </w:r>
                </w:p>
              </w:tc>
            </w:tr>
            <w:tr w14:paraId="053B8F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767" w:type="pct"/>
                  <w:tcBorders>
                    <w:tl2br w:val="nil"/>
                    <w:tr2bl w:val="nil"/>
                  </w:tcBorders>
                  <w:shd w:val="clear" w:color="auto" w:fill="auto"/>
                  <w:noWrap w:val="0"/>
                  <w:vAlign w:val="center"/>
                </w:tcPr>
                <w:p w14:paraId="44EE6D73">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海洋</w:t>
                  </w:r>
                </w:p>
              </w:tc>
              <w:tc>
                <w:tcPr>
                  <w:tcW w:w="2011" w:type="pct"/>
                  <w:tcBorders>
                    <w:tl2br w:val="nil"/>
                    <w:tr2bl w:val="nil"/>
                  </w:tcBorders>
                  <w:shd w:val="clear" w:color="auto" w:fill="auto"/>
                  <w:noWrap w:val="0"/>
                  <w:vAlign w:val="center"/>
                </w:tcPr>
                <w:p w14:paraId="3C814CC4">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直接向海排放污染物的海洋工程建设项目</w:t>
                  </w:r>
                </w:p>
              </w:tc>
              <w:tc>
                <w:tcPr>
                  <w:tcW w:w="2221" w:type="pct"/>
                  <w:tcBorders>
                    <w:tl2br w:val="nil"/>
                    <w:tr2bl w:val="nil"/>
                  </w:tcBorders>
                  <w:shd w:val="clear" w:color="auto" w:fill="auto"/>
                  <w:noWrap w:val="0"/>
                  <w:vAlign w:val="center"/>
                </w:tcPr>
                <w:p w14:paraId="2A741889">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本项目为内陆工程，不向海排放污染物</w:t>
                  </w:r>
                  <w:r>
                    <w:rPr>
                      <w:rFonts w:hint="default" w:ascii="Times New Roman" w:hAnsi="Times New Roman" w:cs="Times New Roman"/>
                      <w:color w:val="000000" w:themeColor="text1"/>
                      <w:sz w:val="21"/>
                      <w:szCs w:val="21"/>
                      <w:highlight w:val="none"/>
                      <w14:textFill>
                        <w14:solidFill>
                          <w14:schemeClr w14:val="tx1"/>
                        </w14:solidFill>
                      </w14:textFill>
                    </w:rPr>
                    <w:t>，不设置专项评价</w:t>
                  </w:r>
                </w:p>
              </w:tc>
            </w:tr>
            <w:tr w14:paraId="2254ED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3"/>
                  <w:tcBorders>
                    <w:tl2br w:val="nil"/>
                    <w:tr2bl w:val="nil"/>
                  </w:tcBorders>
                  <w:shd w:val="clear" w:color="auto" w:fill="auto"/>
                  <w:noWrap w:val="0"/>
                  <w:vAlign w:val="top"/>
                </w:tcPr>
                <w:p w14:paraId="63782825">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textAlignment w:val="auto"/>
                    <w:rPr>
                      <w:rFonts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注：1.废气中有毒有害污染物指纳入《有毒有害大气污染物名录》的污染物（不包括无排放标准的污染物）。</w:t>
                  </w:r>
                </w:p>
                <w:p w14:paraId="50AECBC2">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textAlignment w:val="auto"/>
                    <w:rPr>
                      <w:rFonts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2.环境空气保护目标指自然保护区、风景名胜区、居住区、文化区和农村地区中人群较集中的区域。</w:t>
                  </w:r>
                </w:p>
                <w:p w14:paraId="58BBB9A8">
                  <w:pPr>
                    <w:keepNext w:val="0"/>
                    <w:keepLines w:val="0"/>
                    <w:pageBreakBefore w:val="0"/>
                    <w:widowControl w:val="0"/>
                    <w:kinsoku/>
                    <w:wordWrap/>
                    <w:overflowPunct/>
                    <w:topLinePunct w:val="0"/>
                    <w:autoSpaceDE w:val="0"/>
                    <w:autoSpaceDN w:val="0"/>
                    <w:bidi w:val="0"/>
                    <w:adjustRightInd w:val="0"/>
                    <w:snapToGrid w:val="0"/>
                    <w:spacing w:before="157" w:beforeLines="50" w:afterLines="0" w:line="360" w:lineRule="auto"/>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ascii="Times New Roman" w:hAnsi="Times New Roman" w:cs="Times New Roman"/>
                      <w:color w:val="000000" w:themeColor="text1"/>
                      <w:kern w:val="0"/>
                      <w:sz w:val="21"/>
                      <w:szCs w:val="21"/>
                      <w:highlight w:val="none"/>
                      <w14:textFill>
                        <w14:solidFill>
                          <w14:schemeClr w14:val="tx1"/>
                        </w14:solidFill>
                      </w14:textFill>
                    </w:rPr>
                    <w:t>3.临界量及其计算方法可参考《建设项目环境风险评价技术导则》（HJ169）附录B、附录C。</w:t>
                  </w:r>
                </w:p>
              </w:tc>
            </w:tr>
          </w:tbl>
          <w:p w14:paraId="4A1CE60E">
            <w:pPr>
              <w:keepNext w:val="0"/>
              <w:keepLines w:val="0"/>
              <w:pageBreakBefore w:val="0"/>
              <w:kinsoku/>
              <w:wordWrap/>
              <w:overflowPunct/>
              <w:bidi w:val="0"/>
              <w:adjustRightInd/>
              <w:snapToGrid/>
              <w:spacing w:beforeLines="0" w:beforeAutospacing="0" w:afterLines="0" w:afterAutospacing="0"/>
              <w:ind w:firstLine="482"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因此，</w:t>
            </w:r>
            <w:r>
              <w:rPr>
                <w:rFonts w:ascii="Times New Roman" w:hAnsi="Times New Roman" w:cs="Times New Roman"/>
                <w:b/>
                <w:bCs/>
                <w:color w:val="000000" w:themeColor="text1"/>
                <w:kern w:val="0"/>
                <w:sz w:val="24"/>
                <w:szCs w:val="24"/>
                <w:highlight w:val="none"/>
                <w14:textFill>
                  <w14:solidFill>
                    <w14:schemeClr w14:val="tx1"/>
                  </w14:solidFill>
                </w14:textFill>
              </w:rPr>
              <w:t>本项目</w:t>
            </w:r>
            <w:r>
              <w:rPr>
                <w:rFonts w:hint="default" w:ascii="Times New Roman" w:hAnsi="Times New Roman" w:cs="Times New Roman"/>
                <w:b/>
                <w:bCs/>
                <w:color w:val="000000" w:themeColor="text1"/>
                <w:kern w:val="0"/>
                <w:sz w:val="24"/>
                <w:szCs w:val="24"/>
                <w:highlight w:val="none"/>
                <w14:textFill>
                  <w14:solidFill>
                    <w14:schemeClr w14:val="tx1"/>
                  </w14:solidFill>
                </w14:textFill>
              </w:rPr>
              <w:t>不需要设置专项评价</w:t>
            </w:r>
            <w:r>
              <w:rPr>
                <w:rFonts w:ascii="Times New Roman" w:hAnsi="Times New Roman" w:cs="Times New Roman"/>
                <w:b/>
                <w:bCs/>
                <w:color w:val="000000" w:themeColor="text1"/>
                <w:kern w:val="0"/>
                <w:sz w:val="24"/>
                <w:szCs w:val="24"/>
                <w:highlight w:val="none"/>
                <w14:textFill>
                  <w14:solidFill>
                    <w14:schemeClr w14:val="tx1"/>
                  </w14:solidFill>
                </w14:textFill>
              </w:rPr>
              <w:t>。</w:t>
            </w:r>
          </w:p>
        </w:tc>
      </w:tr>
      <w:tr w14:paraId="25568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pct"/>
            <w:gridSpan w:val="2"/>
            <w:noWrap w:val="0"/>
            <w:vAlign w:val="center"/>
          </w:tcPr>
          <w:p w14:paraId="35FC2E2F">
            <w:pPr>
              <w:keepNext w:val="0"/>
              <w:keepLines w:val="0"/>
              <w:pageBreakBefore w:val="0"/>
              <w:kinsoku/>
              <w:wordWrap/>
              <w:overflowPunct/>
              <w:autoSpaceDE w:val="0"/>
              <w:autoSpaceDN w:val="0"/>
              <w:bidi w:val="0"/>
              <w:adjustRightInd/>
              <w:snapToGrid/>
              <w:spacing w:beforeLines="0" w:beforeAutospacing="0" w:afterLines="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规划情况</w:t>
            </w:r>
          </w:p>
        </w:tc>
        <w:tc>
          <w:tcPr>
            <w:tcW w:w="4263" w:type="pct"/>
            <w:gridSpan w:val="3"/>
            <w:noWrap w:val="0"/>
            <w:vAlign w:val="center"/>
          </w:tcPr>
          <w:p w14:paraId="789D2EED">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w:t>
            </w:r>
          </w:p>
        </w:tc>
      </w:tr>
      <w:tr w14:paraId="7522A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736" w:type="pct"/>
            <w:gridSpan w:val="2"/>
            <w:noWrap w:val="0"/>
            <w:vAlign w:val="center"/>
          </w:tcPr>
          <w:p w14:paraId="77508370">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规划环境影响评价情况</w:t>
            </w:r>
          </w:p>
        </w:tc>
        <w:tc>
          <w:tcPr>
            <w:tcW w:w="4263" w:type="pct"/>
            <w:gridSpan w:val="3"/>
            <w:noWrap w:val="0"/>
            <w:vAlign w:val="center"/>
          </w:tcPr>
          <w:p w14:paraId="6EF5036B">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w:t>
            </w:r>
          </w:p>
        </w:tc>
      </w:tr>
      <w:tr w14:paraId="56DB9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36" w:type="pct"/>
            <w:gridSpan w:val="2"/>
            <w:noWrap w:val="0"/>
            <w:vAlign w:val="center"/>
          </w:tcPr>
          <w:p w14:paraId="393778D4">
            <w:pPr>
              <w:keepNext w:val="0"/>
              <w:keepLines w:val="0"/>
              <w:pageBreakBefore w:val="0"/>
              <w:kinsoku/>
              <w:wordWrap/>
              <w:overflowPunct/>
              <w:autoSpaceDE w:val="0"/>
              <w:autoSpaceDN w:val="0"/>
              <w:bidi w:val="0"/>
              <w:adjustRightInd/>
              <w:snapToGrid/>
              <w:spacing w:beforeLines="0" w:beforeAutospacing="0" w:afterLines="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规划及规划环境影响评价符合性分析</w:t>
            </w:r>
          </w:p>
        </w:tc>
        <w:tc>
          <w:tcPr>
            <w:tcW w:w="4263" w:type="pct"/>
            <w:gridSpan w:val="3"/>
            <w:noWrap w:val="0"/>
            <w:vAlign w:val="center"/>
          </w:tcPr>
          <w:p w14:paraId="5D87E298">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w:t>
            </w:r>
          </w:p>
        </w:tc>
      </w:tr>
      <w:tr w14:paraId="6C60E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447" w:type="pct"/>
            <w:noWrap w:val="0"/>
            <w:vAlign w:val="center"/>
          </w:tcPr>
          <w:p w14:paraId="2004E83E">
            <w:pPr>
              <w:keepNext w:val="0"/>
              <w:keepLines w:val="0"/>
              <w:pageBreakBefore w:val="0"/>
              <w:kinsoku/>
              <w:wordWrap/>
              <w:overflowPunct/>
              <w:autoSpaceDE w:val="0"/>
              <w:autoSpaceDN w:val="0"/>
              <w:bidi w:val="0"/>
              <w:adjustRightInd/>
              <w:snapToGrid/>
              <w:spacing w:beforeLines="0" w:beforeAutospacing="0" w:afterLines="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tc>
        <w:tc>
          <w:tcPr>
            <w:tcW w:w="4552" w:type="pct"/>
            <w:gridSpan w:val="4"/>
            <w:noWrap w:val="0"/>
            <w:vAlign w:val="center"/>
          </w:tcPr>
          <w:p w14:paraId="06D1636B">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与</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产业政策的符合性分析</w:t>
            </w:r>
          </w:p>
          <w:p w14:paraId="331BD29F">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甘孜州圣洁康巴砼业有限责任公司商砼站建设项目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，项目属于“水泥制品制造（C3021）”类项目。根据《产业结构调整指导目录》（20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本），不属于鼓励类、限制类和淘汰类，根据国务院关于发布实施《促进产业结构调整暂行规定》（国发[2005]40号）第十三规定：不属于鼓励类、限制类和淘汰类，且符合国家有关</w:t>
            </w:r>
            <w:r>
              <w:rPr>
                <w:rFonts w:hint="eastAsia" w:cs="Times New Roman"/>
                <w:color w:val="000000" w:themeColor="text1"/>
                <w:sz w:val="24"/>
                <w:szCs w:val="24"/>
                <w:highlight w:val="none"/>
                <w:lang w:val="en-US" w:eastAsia="zh-CN"/>
                <w14:textFill>
                  <w14:solidFill>
                    <w14:schemeClr w14:val="tx1"/>
                  </w14:solidFill>
                </w14:textFill>
              </w:rPr>
              <w:t>法律法规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和政策规定的，为允许类，因此项目为允许类。</w:t>
            </w:r>
          </w:p>
          <w:p w14:paraId="4AF1BC13">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同时，对照工信部《高耗能落后机电设备（产品）淘汰目录》第一批、第二批、第三批、第四批，本项目所用机电设备不属于其中的淘汰落后设备；所用设备也不属于《产业结构调整指导目录》中淘汰类落后工艺设备。</w:t>
            </w:r>
          </w:p>
          <w:p w14:paraId="605F6A20">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项目经甘孜县</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发展和改革局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备案，备案号为：川投资备【2410-513328-04-01-858432】FGQB-0009号。</w:t>
            </w:r>
          </w:p>
          <w:p w14:paraId="4F289CB3">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因此，本项目符合国家相关的产业政策。</w:t>
            </w:r>
          </w:p>
          <w:p w14:paraId="42A41876">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、用地符合性分析</w:t>
            </w:r>
          </w:p>
          <w:p w14:paraId="2AA70D95">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搅拌站设施工程建设项目，位于四川省甘孜藏族自治州甘孜镇斯俄村，目前已取得了甘孜州甘孜县自然资源局出具的《甘孜州圣洁康巴砼业有限责任公司商砼站建设项目规划符合性、用地性质，以及与最新</w:t>
            </w:r>
            <w:r>
              <w:rPr>
                <w:rFonts w:hint="eastAsia" w:cs="Times New Roman"/>
                <w:color w:val="000000" w:themeColor="text1"/>
                <w:sz w:val="24"/>
                <w:szCs w:val="24"/>
                <w:highlight w:val="none"/>
                <w:lang w:val="en-US" w:eastAsia="zh-CN"/>
                <w14:textFill>
                  <w14:solidFill>
                    <w14:schemeClr w14:val="tx1"/>
                  </w14:solidFill>
                </w14:textFill>
              </w:rPr>
              <w:t>“三区三线”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划定成果的位置关系的复函》</w:t>
            </w:r>
            <w:r>
              <w:rPr>
                <w:rFonts w:hint="eastAsia" w:cs="Times New Roman"/>
                <w:color w:val="000000" w:themeColor="text1"/>
                <w:sz w:val="24"/>
                <w:szCs w:val="24"/>
                <w:highlight w:val="none"/>
                <w:lang w:val="en-US" w:eastAsia="zh-CN"/>
                <w14:textFill>
                  <w14:solidFill>
                    <w14:schemeClr w14:val="tx1"/>
                  </w14:solidFill>
                </w14:textFill>
              </w:rPr>
              <w:t>（甘孜自然规函〔2025〕35号）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件3），甘孜州圣洁康巴砼业有限责任公司租用四川康巴金农牧业开发有限公司地块位于甘孜县斯俄乡一村新改317公路西北侧的土地，选址范围与甘孜县城市总体规划相符合，用地性质为商业服务设施用地，项目选址位于城镇开发边界内，不涉及我县生态红线、不占用永久基本农田。</w:t>
            </w:r>
          </w:p>
          <w:p w14:paraId="0FD75412">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同时，甘孜州甘孜县自然资源局出具关于地性质调整事宜的说明</w:t>
            </w:r>
            <w:r>
              <w:rPr>
                <w:rFonts w:hint="eastAsia" w:cs="Times New Roman"/>
                <w:color w:val="000000" w:themeColor="text1"/>
                <w:sz w:val="24"/>
                <w:szCs w:val="24"/>
                <w:highlight w:val="none"/>
                <w:lang w:val="en-US" w:eastAsia="zh-CN"/>
                <w14:textFill>
                  <w14:solidFill>
                    <w14:schemeClr w14:val="tx1"/>
                  </w14:solidFill>
                </w14:textFill>
              </w:rPr>
              <w:t>（甘孜自然规函〔2025〕69号）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附件4），根据现行《甘孜县国土空间总体规划（2021-2035）》，该地块规划用途为商业服务业用地（地块编号0902），甘孜州圣洁康巴砼业有限责任公司商砼站建设项目拟入驻本地块，由于商业服务业用地性质限制了项目的入驻，现甘孜县控制性详细规划（2021-2035）已启动编制，该地块已在进行性质调整，拟调整为工业用地。甘孜县控制性详细规划调整完成前，同意该项目在该地块选址建设</w:t>
            </w:r>
            <w:r>
              <w:rPr>
                <w:rFonts w:hint="eastAsia" w:cs="Times New Roman"/>
                <w:color w:val="000000" w:themeColor="text1"/>
                <w:sz w:val="24"/>
                <w:szCs w:val="24"/>
                <w:highlight w:val="none"/>
                <w:lang w:val="en-US" w:eastAsia="zh-CN"/>
                <w14:textFill>
                  <w14:solidFill>
                    <w14:schemeClr w14:val="tx1"/>
                  </w14:solidFill>
                </w14:textFill>
              </w:rPr>
              <w:t>，建设单位已出具说明，承诺甘孜县国土空间总体规划调整前不建设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0222DD5">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根据甘孜县</w:t>
            </w:r>
            <w:r>
              <w:rPr>
                <w:rFonts w:hint="eastAsia" w:cs="Times New Roman"/>
                <w:color w:val="000000" w:themeColor="text1"/>
                <w:sz w:val="24"/>
                <w:szCs w:val="24"/>
                <w:highlight w:val="none"/>
                <w:lang w:val="en-US" w:eastAsia="zh-CN"/>
                <w14:textFill>
                  <w14:solidFill>
                    <w14:schemeClr w14:val="tx1"/>
                  </w14:solidFill>
                </w14:textFill>
              </w:rPr>
              <w:t>林业和草原局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出具的《关于甘孜州圣洁康巴砼业有限责任公司商砼站建设项目</w:t>
            </w:r>
            <w:r>
              <w:rPr>
                <w:rFonts w:hint="eastAsia" w:cs="Times New Roman"/>
                <w:color w:val="000000" w:themeColor="text1"/>
                <w:sz w:val="24"/>
                <w:szCs w:val="24"/>
                <w:highlight w:val="none"/>
                <w:lang w:val="en-US" w:eastAsia="zh-CN"/>
                <w14:textFill>
                  <w14:solidFill>
                    <w14:schemeClr w14:val="tx1"/>
                  </w14:solidFill>
                </w14:textFill>
              </w:rPr>
              <w:t>是否涉及各自然保护地、基本草原的复函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（甘孜林草函〔2025〕91 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可知项目不涉及占用甘孜县境内各级各类自然保护地、永久基本草原</w:t>
            </w:r>
            <w:r>
              <w:rPr>
                <w:rFonts w:hint="eastAsia" w:cs="Times New Roman"/>
                <w:color w:val="000000" w:themeColor="text1"/>
                <w:sz w:val="24"/>
                <w:szCs w:val="24"/>
                <w:highlight w:val="none"/>
                <w:lang w:val="en-US" w:eastAsia="zh-CN"/>
                <w14:textFill>
                  <w14:solidFill>
                    <w14:schemeClr w14:val="tx1"/>
                  </w14:solidFill>
                </w14:textFill>
              </w:rPr>
              <w:t>。</w:t>
            </w:r>
          </w:p>
          <w:p w14:paraId="4F17D997">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综上，本项目用地符合区域土地利用规划要求。</w:t>
            </w:r>
          </w:p>
          <w:p w14:paraId="3FBE1648">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both"/>
              <w:rPr>
                <w:rFonts w:hint="eastAsia"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3、项目选址与“三区三线”符合性分析</w:t>
            </w:r>
          </w:p>
          <w:p w14:paraId="66048D41">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本项目位于四川省甘孜藏族自治州甘孜镇斯俄村新改317公路西北侧，结合甘孜州甘孜县自然资源局出具的《甘孜州圣洁康巴砼业有限责任公司商砼站建设项目规划符合性、用地性质，以及与最新“三区三线”划定成果的位置关系的复函》（甘孜自然规函〔2025〕35号），项目选址位于城镇开发边界内，不涉及甘孜县生态红线、不占用永久基本农田。因此项目与“三区三线”不冲突。</w:t>
            </w:r>
          </w:p>
          <w:p w14:paraId="205E235C">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4、与甘孜县国土空间规划（2021-2035年）符合性分析</w:t>
            </w:r>
          </w:p>
          <w:p w14:paraId="306AE2BE">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与产业定位的符合性</w:t>
            </w:r>
          </w:p>
          <w:p w14:paraId="2F2EAF15">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规划明确中心城区为“康北区域商贸物流综合发展中心”，重点发展建材批发、仓储物流等产业。搅拌站作为建材供应链关键环节，符合</w:t>
            </w:r>
            <w:r>
              <w:rPr>
                <w:rFonts w:hint="eastAsia" w:cs="Times New Roman"/>
                <w:color w:val="000000" w:themeColor="text1"/>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AEAF92F">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现代商贸服务导向：规划要求“构建现代商贸流通体系”，搅拌站可依托物流</w:t>
            </w:r>
            <w:r>
              <w:rPr>
                <w:rFonts w:hint="eastAsia" w:cs="Times New Roman"/>
                <w:color w:val="000000" w:themeColor="text1"/>
                <w:sz w:val="24"/>
                <w:szCs w:val="24"/>
                <w:highlight w:val="none"/>
                <w:lang w:val="en-US" w:eastAsia="zh-CN"/>
                <w14:textFill>
                  <w14:solidFill>
                    <w14:schemeClr w14:val="tx1"/>
                  </w14:solidFill>
                </w14:textFill>
              </w:rPr>
              <w:t>体系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实现建材高效配送，契合商贸服务升级目标。</w:t>
            </w:r>
          </w:p>
          <w:p w14:paraId="09A099AD">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与城镇职能的符合性</w:t>
            </w:r>
          </w:p>
          <w:p w14:paraId="3D9EF214">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中心城区综合服务职能</w:t>
            </w:r>
          </w:p>
          <w:p w14:paraId="3830C422">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甘孜镇（中心城区）定位为“商贸文旅小镇”，要求完善商贸、物流等生产性服务业。搅拌站作为基建配套产业，可支撑城区建设需求，符合</w:t>
            </w:r>
            <w:r>
              <w:rPr>
                <w:rFonts w:hint="eastAsia" w:cs="Times New Roman"/>
                <w:color w:val="000000" w:themeColor="text1"/>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0E6DD30">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城市基建配套职能：规划提出“优化</w:t>
            </w:r>
            <w:r>
              <w:rPr>
                <w:rFonts w:hint="eastAsia" w:cs="Times New Roman"/>
                <w:color w:val="000000" w:themeColor="text1"/>
                <w:sz w:val="24"/>
                <w:szCs w:val="24"/>
                <w:highlight w:val="none"/>
                <w:lang w:val="en-US" w:eastAsia="zh-CN"/>
                <w14:textFill>
                  <w14:solidFill>
                    <w14:schemeClr w14:val="tx1"/>
                  </w14:solidFill>
                </w14:textFill>
              </w:rPr>
              <w:t>完善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全域旅游集散功能体系”，搅拌站可为旅游设施（如酒店、道路）建设提供材料保障。</w:t>
            </w:r>
          </w:p>
          <w:p w14:paraId="08086C3C">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区域中心辐射需求：作为“康北中心城市”，城区需保障区域性基建物资供应，搅拌站具备区域服务潜力。</w:t>
            </w:r>
          </w:p>
          <w:p w14:paraId="2532ADC6">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与基础设施的协同性</w:t>
            </w:r>
          </w:p>
          <w:p w14:paraId="0EF07E36">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城市更新配套需求</w:t>
            </w:r>
          </w:p>
          <w:p w14:paraId="02DBA5F7">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中心城区规划“温泉城片区”“王城片区”等文旅项目，搅拌站可为历史文化街区改造、旅游设施建设提供就地建材供应，降低运输成本。</w:t>
            </w:r>
          </w:p>
          <w:p w14:paraId="747BB61B">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综上，本项目符合甘孜县国土空间规划（2021-2035年）要求。</w:t>
            </w:r>
          </w:p>
          <w:p w14:paraId="700A77B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、与《甘孜州生态环境保护委员会关于加强生态环境分区管控的通知》（甘环委发〔2024〕1号）的符合性分析</w:t>
            </w:r>
          </w:p>
          <w:p w14:paraId="1100FA7F">
            <w:pPr>
              <w:snapToGrid/>
              <w:spacing w:beforeLines="0" w:afterLines="0" w:line="360" w:lineRule="auto"/>
              <w:ind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根据《甘孜州生态环境保护委员会关于加强生态环境分区管控的通知》（甘环委发</w:t>
            </w:r>
            <w:r>
              <w:rPr>
                <w:rFonts w:hint="eastAsia" w:cs="Times New Roman"/>
                <w:b w:val="0"/>
                <w:bCs/>
                <w:color w:val="000000" w:themeColor="text1"/>
                <w:sz w:val="24"/>
                <w:szCs w:val="24"/>
                <w:highlight w:val="none"/>
                <w:lang w:eastAsia="zh-CN"/>
                <w14:textFill>
                  <w14:solidFill>
                    <w14:schemeClr w14:val="tx1"/>
                  </w14:solidFill>
                </w14:textFill>
              </w:rPr>
              <w:t>〔2024〕1号</w:t>
            </w:r>
            <w:r>
              <w:rPr>
                <w:rFonts w:hint="default" w:ascii="Times New Roman" w:hAnsi="Times New Roman" w:cs="Times New Roman"/>
                <w:b w:val="0"/>
                <w:bCs/>
                <w:color w:val="000000" w:themeColor="text1"/>
                <w:sz w:val="24"/>
                <w:szCs w:val="24"/>
                <w:highlight w:val="none"/>
                <w14:textFill>
                  <w14:solidFill>
                    <w14:schemeClr w14:val="tx1"/>
                  </w14:solidFill>
                </w14:textFill>
              </w:rPr>
              <w:t>）与《甘孜州生态环境分区管控动态更新成果（2023年版）的通知》（甘环委办发</w:t>
            </w:r>
            <w:r>
              <w:rPr>
                <w:rFonts w:hint="eastAsia" w:cs="Times New Roman"/>
                <w:b w:val="0"/>
                <w:bCs/>
                <w:color w:val="000000" w:themeColor="text1"/>
                <w:sz w:val="24"/>
                <w:szCs w:val="24"/>
                <w:highlight w:val="none"/>
                <w:lang w:eastAsia="zh-CN"/>
                <w14:textFill>
                  <w14:solidFill>
                    <w14:schemeClr w14:val="tx1"/>
                  </w14:solidFill>
                </w14:textFill>
              </w:rPr>
              <w:t>〔2024〕4号</w:t>
            </w:r>
            <w:r>
              <w:rPr>
                <w:rFonts w:hint="default" w:ascii="Times New Roman" w:hAnsi="Times New Roman" w:cs="Times New Roman"/>
                <w:b w:val="0"/>
                <w:bCs/>
                <w:color w:val="000000" w:themeColor="text1"/>
                <w:sz w:val="24"/>
                <w:szCs w:val="24"/>
                <w:highlight w:val="none"/>
                <w14:textFill>
                  <w14:solidFill>
                    <w14:schemeClr w14:val="tx1"/>
                  </w14:solidFill>
                </w14:textFill>
              </w:rPr>
              <w:t>），全州行政区域从生态环境保护角度划分为优先保护、重点管控和一般管控三类环境管控单元。</w:t>
            </w:r>
          </w:p>
          <w:p w14:paraId="285A8C84">
            <w:pPr>
              <w:snapToGrid/>
              <w:spacing w:beforeLines="0" w:afterLines="0" w:line="360" w:lineRule="auto"/>
              <w:ind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优先保护单元：以生态环境保护为主的区域，全州划分优先保护单元21个。</w:t>
            </w:r>
          </w:p>
          <w:p w14:paraId="5DA75717">
            <w:pPr>
              <w:snapToGrid/>
              <w:spacing w:beforeLines="0" w:afterLines="0" w:line="360" w:lineRule="auto"/>
              <w:ind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重点管控单元：涉及水、大气、土壤、生态等资源环境要素重点管控的区域，全州划分重点管控单元21个。</w:t>
            </w:r>
          </w:p>
          <w:p w14:paraId="49536044">
            <w:pPr>
              <w:snapToGrid/>
              <w:spacing w:beforeLines="0" w:afterLines="0" w:line="360" w:lineRule="auto"/>
              <w:ind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一般管控单元：除优先保护单元和重点管控单元之外的其他区域，全州共划分一般管控单元18个。</w:t>
            </w:r>
          </w:p>
          <w:p w14:paraId="703B16F3">
            <w:pPr>
              <w:snapToGrid/>
              <w:spacing w:beforeLines="0" w:afterLines="0" w:line="360" w:lineRule="auto"/>
              <w:ind w:firstLine="0" w:firstLineChars="0"/>
              <w:jc w:val="center"/>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表1-</w:t>
            </w:r>
            <w:r>
              <w:rPr>
                <w:rFonts w:hint="eastAsia" w:cs="Times New Roman"/>
                <w:b/>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val="0"/>
                <w:color w:val="000000" w:themeColor="text1"/>
                <w:sz w:val="24"/>
                <w:szCs w:val="24"/>
                <w:highlight w:val="none"/>
                <w14:textFill>
                  <w14:solidFill>
                    <w14:schemeClr w14:val="tx1"/>
                  </w14:solidFill>
                </w14:textFill>
              </w:rPr>
              <w:t>州县生态环境准入清单总体管控要求</w:t>
            </w:r>
          </w:p>
          <w:tbl>
            <w:tblPr>
              <w:tblStyle w:val="35"/>
              <w:tblW w:w="73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3"/>
              <w:gridCol w:w="4311"/>
              <w:gridCol w:w="1539"/>
              <w:gridCol w:w="954"/>
            </w:tblGrid>
            <w:tr w14:paraId="7F1EB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0" w:hRule="atLeast"/>
                <w:jc w:val="center"/>
              </w:trPr>
              <w:tc>
                <w:tcPr>
                  <w:tcW w:w="388" w:type="pct"/>
                  <w:tcBorders>
                    <w:tl2br w:val="nil"/>
                    <w:tr2bl w:val="nil"/>
                  </w:tcBorders>
                  <w:shd w:val="clear" w:color="auto" w:fill="auto"/>
                  <w:noWrap w:val="0"/>
                  <w:vAlign w:val="center"/>
                </w:tcPr>
                <w:p w14:paraId="6DAEA184">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州域</w:t>
                  </w:r>
                </w:p>
              </w:tc>
              <w:tc>
                <w:tcPr>
                  <w:tcW w:w="2921" w:type="pct"/>
                  <w:tcBorders>
                    <w:tl2br w:val="nil"/>
                    <w:tr2bl w:val="nil"/>
                  </w:tcBorders>
                  <w:shd w:val="clear" w:color="auto" w:fill="auto"/>
                  <w:noWrap w:val="0"/>
                  <w:vAlign w:val="center"/>
                </w:tcPr>
                <w:p w14:paraId="385855F8">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总体管控要求</w:t>
                  </w:r>
                </w:p>
              </w:tc>
              <w:tc>
                <w:tcPr>
                  <w:tcW w:w="1043" w:type="pct"/>
                  <w:tcBorders>
                    <w:tl2br w:val="nil"/>
                    <w:tr2bl w:val="nil"/>
                  </w:tcBorders>
                  <w:shd w:val="clear" w:color="auto" w:fill="auto"/>
                  <w:noWrap w:val="0"/>
                  <w:vAlign w:val="center"/>
                </w:tcPr>
                <w:p w14:paraId="6CC744FB">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本项目情况</w:t>
                  </w:r>
                </w:p>
              </w:tc>
              <w:tc>
                <w:tcPr>
                  <w:tcW w:w="646" w:type="pct"/>
                  <w:tcBorders>
                    <w:tl2br w:val="nil"/>
                    <w:tr2bl w:val="nil"/>
                  </w:tcBorders>
                  <w:shd w:val="clear" w:color="auto" w:fill="auto"/>
                  <w:noWrap w:val="0"/>
                  <w:vAlign w:val="center"/>
                </w:tcPr>
                <w:p w14:paraId="6C01042F">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符合性分析</w:t>
                  </w:r>
                </w:p>
              </w:tc>
            </w:tr>
            <w:tr w14:paraId="3D172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0" w:hRule="atLeast"/>
                <w:jc w:val="center"/>
              </w:trPr>
              <w:tc>
                <w:tcPr>
                  <w:tcW w:w="388" w:type="pct"/>
                  <w:tcBorders>
                    <w:tl2br w:val="nil"/>
                    <w:tr2bl w:val="nil"/>
                  </w:tcBorders>
                  <w:shd w:val="clear" w:color="auto" w:fill="auto"/>
                  <w:noWrap w:val="0"/>
                  <w:vAlign w:val="center"/>
                </w:tcPr>
                <w:p w14:paraId="75F51CBE">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甘孜州</w:t>
                  </w:r>
                </w:p>
              </w:tc>
              <w:tc>
                <w:tcPr>
                  <w:tcW w:w="2921" w:type="pct"/>
                  <w:tcBorders>
                    <w:tl2br w:val="nil"/>
                    <w:tr2bl w:val="nil"/>
                  </w:tcBorders>
                  <w:shd w:val="clear" w:color="auto" w:fill="auto"/>
                  <w:noWrap w:val="0"/>
                  <w:vAlign w:val="top"/>
                </w:tcPr>
                <w:p w14:paraId="2FF79A5F">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1.合理控制开发活动和生态旅游规模，保障长江及黄河上游生态安全和生态屏障、生物多样性和水源涵养生态功能；</w:t>
                  </w:r>
                </w:p>
                <w:p w14:paraId="645FF4CB">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2.合理控制畜牧业发展规模，破坏天然草地的建设活动执行倍量补偿；</w:t>
                  </w:r>
                </w:p>
                <w:p w14:paraId="4F7DB6D2">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3.锂等矿产、清洁能源、生态旅游等重点行业严格执行资源环境绩效水平要求；</w:t>
                  </w:r>
                </w:p>
                <w:p w14:paraId="0CAFCA7D">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4.加强矿山生态修复和污染防治、加大川藏铁路建设用地规范化处置和生态环境修复；</w:t>
                  </w:r>
                </w:p>
                <w:p w14:paraId="16886C36">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5.加快小水电清理整顿，加强流域生态修复；</w:t>
                  </w:r>
                </w:p>
                <w:p w14:paraId="6EAE2037">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6.以构建“两江一河”生态防护和防治体系为目标，加强地质环境恢复治理和地质灾害防治、草原退化生态系统恢复；</w:t>
                  </w:r>
                </w:p>
                <w:p w14:paraId="07E573B7">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7.按照“生态优先、保护优先”原则、严控区域资源开发强度，打造“水电、风电、光伏、抽水蓄能”等可再生清洁能源基地。</w:t>
                  </w:r>
                </w:p>
              </w:tc>
              <w:tc>
                <w:tcPr>
                  <w:tcW w:w="1043" w:type="pct"/>
                  <w:tcBorders>
                    <w:tl2br w:val="nil"/>
                    <w:tr2bl w:val="nil"/>
                  </w:tcBorders>
                  <w:shd w:val="clear" w:color="auto" w:fill="auto"/>
                  <w:noWrap w:val="0"/>
                  <w:vAlign w:val="top"/>
                </w:tcPr>
                <w:p w14:paraId="15DF3BEA">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both"/>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本项目为商砼站建设项目，不属于前述行业</w:t>
                  </w:r>
                </w:p>
              </w:tc>
              <w:tc>
                <w:tcPr>
                  <w:tcW w:w="646" w:type="pct"/>
                  <w:tcBorders>
                    <w:tl2br w:val="nil"/>
                    <w:tr2bl w:val="nil"/>
                  </w:tcBorders>
                  <w:shd w:val="clear" w:color="auto" w:fill="auto"/>
                  <w:noWrap w:val="0"/>
                  <w:vAlign w:val="top"/>
                </w:tcPr>
                <w:p w14:paraId="66ADCCE1">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w:t>
                  </w:r>
                </w:p>
              </w:tc>
            </w:tr>
            <w:tr w14:paraId="6AAE27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9" w:hRule="atLeast"/>
                <w:jc w:val="center"/>
              </w:trPr>
              <w:tc>
                <w:tcPr>
                  <w:tcW w:w="388" w:type="pct"/>
                  <w:tcBorders>
                    <w:tl2br w:val="nil"/>
                    <w:tr2bl w:val="nil"/>
                  </w:tcBorders>
                  <w:shd w:val="clear" w:color="auto" w:fill="auto"/>
                  <w:noWrap w:val="0"/>
                  <w:vAlign w:val="center"/>
                </w:tcPr>
                <w:p w14:paraId="5CA2DAC8">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甘孜县</w:t>
                  </w:r>
                </w:p>
              </w:tc>
              <w:tc>
                <w:tcPr>
                  <w:tcW w:w="2921" w:type="pct"/>
                  <w:tcBorders>
                    <w:tl2br w:val="nil"/>
                    <w:tr2bl w:val="nil"/>
                  </w:tcBorders>
                  <w:shd w:val="clear" w:color="auto" w:fill="auto"/>
                  <w:noWrap w:val="0"/>
                  <w:vAlign w:val="top"/>
                </w:tcPr>
                <w:p w14:paraId="65FBAE9F">
                  <w:pPr>
                    <w:pStyle w:val="2"/>
                    <w:keepNext w:val="0"/>
                    <w:keepLines w:val="0"/>
                    <w:pageBreakBefore w:val="0"/>
                    <w:widowControl w:val="0"/>
                    <w:numPr>
                      <w:ilvl w:val="-1"/>
                      <w:numId w:val="0"/>
                    </w:numPr>
                    <w:kinsoku/>
                    <w:wordWrap/>
                    <w:overflowPunct/>
                    <w:topLinePunct w:val="0"/>
                    <w:autoSpaceDE/>
                    <w:autoSpaceDN/>
                    <w:bidi w:val="0"/>
                    <w:adjustRightInd/>
                    <w:snapToGrid/>
                    <w:spacing w:before="157" w:beforeLines="50" w:after="0" w:afterLines="0" w:line="360" w:lineRule="auto"/>
                    <w:ind w:left="420" w:leftChars="200"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1加强雅砻江源生态功能重要区保护，严控环境风险突出项目的引入</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p w14:paraId="401C24A2">
                  <w:pPr>
                    <w:pStyle w:val="2"/>
                    <w:keepNext w:val="0"/>
                    <w:keepLines w:val="0"/>
                    <w:pageBreakBefore w:val="0"/>
                    <w:widowControl w:val="0"/>
                    <w:numPr>
                      <w:ilvl w:val="-1"/>
                      <w:numId w:val="0"/>
                    </w:numPr>
                    <w:kinsoku/>
                    <w:wordWrap/>
                    <w:overflowPunct/>
                    <w:topLinePunct w:val="0"/>
                    <w:autoSpaceDE/>
                    <w:autoSpaceDN/>
                    <w:bidi w:val="0"/>
                    <w:adjustRightInd/>
                    <w:snapToGrid/>
                    <w:spacing w:before="157" w:beforeLines="50" w:after="0" w:afterLines="0" w:line="360" w:lineRule="auto"/>
                    <w:ind w:left="420" w:leftChars="200"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2加强草地沙化和鼠虫害防治</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p w14:paraId="146A7ACB">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3.加强大气污染治理，推进秸秆综合利用</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p w14:paraId="6B4E3DA5">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4.合理优化畜禽养殖布局，推进畜禽粪污无害化、资源化综合处置利用。</w:t>
                  </w:r>
                </w:p>
              </w:tc>
              <w:tc>
                <w:tcPr>
                  <w:tcW w:w="1043" w:type="pct"/>
                  <w:tcBorders>
                    <w:tl2br w:val="nil"/>
                    <w:tr2bl w:val="nil"/>
                  </w:tcBorders>
                  <w:shd w:val="clear" w:color="auto" w:fill="auto"/>
                  <w:noWrap w:val="0"/>
                  <w:vAlign w:val="top"/>
                </w:tcPr>
                <w:p w14:paraId="46C5BF22">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420" w:firstLineChars="200"/>
                    <w:jc w:val="both"/>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本项目在已有厂区内建设，不涉及新增占地，项目运行过程中粉尘废气经过有效处理后达标排放</w:t>
                  </w:r>
                </w:p>
              </w:tc>
              <w:tc>
                <w:tcPr>
                  <w:tcW w:w="646" w:type="pct"/>
                  <w:tcBorders>
                    <w:tl2br w:val="nil"/>
                    <w:tr2bl w:val="nil"/>
                  </w:tcBorders>
                  <w:shd w:val="clear" w:color="auto" w:fill="auto"/>
                  <w:noWrap w:val="0"/>
                  <w:vAlign w:val="top"/>
                </w:tcPr>
                <w:p w14:paraId="10C339C4">
                  <w:pPr>
                    <w:pStyle w:val="2"/>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bl>
          <w:p w14:paraId="0A7A5648">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baseline"/>
              <w:rPr>
                <w:rFonts w:hint="eastAsia" w:cs="Times New Roman"/>
                <w:b/>
                <w:bCs/>
                <w:color w:val="000000" w:themeColor="text1"/>
                <w:sz w:val="24"/>
                <w:szCs w:val="24"/>
                <w:highlight w:val="none"/>
                <w:lang w:val="en-US" w:eastAsia="zh-CN"/>
                <w14:textFill>
                  <w14:solidFill>
                    <w14:schemeClr w14:val="tx1"/>
                  </w14:solidFill>
                </w14:textFill>
              </w:rPr>
            </w:pPr>
          </w:p>
          <w:p w14:paraId="314D5BF0">
            <w:pPr>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baseline"/>
              <w:rPr>
                <w:rFonts w:hint="eastAsia" w:cs="Times New Roman"/>
                <w:b/>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1"/>
                <w:sz w:val="24"/>
                <w:szCs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535305</wp:posOffset>
                      </wp:positionH>
                      <wp:positionV relativeFrom="paragraph">
                        <wp:posOffset>932180</wp:posOffset>
                      </wp:positionV>
                      <wp:extent cx="1071245" cy="268605"/>
                      <wp:effectExtent l="5080" t="4445" r="66675" b="336550"/>
                      <wp:wrapNone/>
                      <wp:docPr id="12" name="矩形标注 28"/>
                      <wp:cNvGraphicFramePr/>
                      <a:graphic xmlns:a="http://schemas.openxmlformats.org/drawingml/2006/main">
                        <a:graphicData uri="http://schemas.microsoft.com/office/word/2010/wordprocessingShape">
                          <wps:wsp>
                            <wps:cNvSpPr/>
                            <wps:spPr>
                              <a:xfrm>
                                <a:off x="0" y="0"/>
                                <a:ext cx="1071245" cy="268605"/>
                              </a:xfrm>
                              <a:prstGeom prst="wedgeRectCallout">
                                <a:avLst>
                                  <a:gd name="adj1" fmla="val 53497"/>
                                  <a:gd name="adj2" fmla="val 166548"/>
                                </a:avLst>
                              </a:prstGeom>
                              <a:solidFill>
                                <a:srgbClr val="FFFFFF"/>
                              </a:solidFill>
                              <a:ln w="6350" cap="flat" cmpd="sng">
                                <a:solidFill>
                                  <a:srgbClr val="000000"/>
                                </a:solidFill>
                                <a:prstDash val="solid"/>
                                <a:miter/>
                                <a:headEnd type="none" w="med" len="med"/>
                                <a:tailEnd type="none" w="med" len="med"/>
                              </a:ln>
                            </wps:spPr>
                            <wps:txbx>
                              <w:txbxContent>
                                <w:p w14:paraId="184FDD1C">
                                  <w:pPr>
                                    <w:jc w:val="center"/>
                                    <w:rPr>
                                      <w:color w:val="0000FF"/>
                                      <w:szCs w:val="21"/>
                                    </w:rPr>
                                  </w:pPr>
                                  <w:r>
                                    <w:rPr>
                                      <w:rFonts w:hint="eastAsia"/>
                                      <w:color w:val="0000FF"/>
                                      <w:szCs w:val="21"/>
                                    </w:rPr>
                                    <w:t>本项目所在地</w:t>
                                  </w:r>
                                </w:p>
                              </w:txbxContent>
                            </wps:txbx>
                            <wps:bodyPr vert="horz" wrap="square" anchor="t" anchorCtr="0" upright="1"/>
                          </wps:wsp>
                        </a:graphicData>
                      </a:graphic>
                    </wp:anchor>
                  </w:drawing>
                </mc:Choice>
                <mc:Fallback>
                  <w:pict>
                    <v:shape id="矩形标注 28" o:spid="_x0000_s1026" o:spt="61" type="#_x0000_t61" style="position:absolute;left:0pt;margin-left:42.15pt;margin-top:73.4pt;height:21.15pt;width:84.35pt;z-index:251666432;mso-width-relative:page;mso-height-relative:page;" fillcolor="#FFFFFF" filled="t" stroked="t" coordsize="21600,21600" o:gfxdata="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v1WirVAAAA&#10;CgEAAA8AAAAAAAAAAQAgAAAAIgAAAGRycy9kb3ducmV2LnhtbFBLAQIUABQAAAAIAIdO4kDa++u7&#10;WQIAAMIEAAAOAAAAAAAAAAEAIAAAACQBAABkcnMvZTJvRG9jLnhtbFBLBQYAAAAABgAGAFkBAADv&#10;BQAAAAA=&#10;" adj="22355,46774">
                      <v:fill on="t" focussize="0,0"/>
                      <v:stroke weight="0.5pt" color="#000000" joinstyle="miter"/>
                      <v:imagedata o:title=""/>
                      <o:lock v:ext="edit" aspectratio="f"/>
                      <v:textbox>
                        <w:txbxContent>
                          <w:p w14:paraId="184FDD1C">
                            <w:pPr>
                              <w:jc w:val="center"/>
                              <w:rPr>
                                <w:color w:val="0000FF"/>
                                <w:szCs w:val="21"/>
                              </w:rPr>
                            </w:pPr>
                            <w:r>
                              <w:rPr>
                                <w:rFonts w:hint="eastAsia"/>
                                <w:color w:val="0000FF"/>
                                <w:szCs w:val="21"/>
                              </w:rPr>
                              <w:t>本项目所在地</w:t>
                            </w:r>
                          </w:p>
                        </w:txbxContent>
                      </v:textbox>
                    </v:shape>
                  </w:pict>
                </mc:Fallback>
              </mc:AlternateContent>
            </w:r>
            <w:r>
              <w:rPr>
                <w:rFonts w:hint="default" w:ascii="Times New Roman" w:hAnsi="Times New Roman" w:cs="Times New Roman" w:eastAsiaTheme="minorEastAsia"/>
                <w:b w:val="0"/>
                <w:bCs w:val="0"/>
                <w:color w:val="000000" w:themeColor="text1"/>
                <w:highlight w:val="none"/>
                <w:lang w:eastAsia="zh-CN"/>
                <w14:textFill>
                  <w14:solidFill>
                    <w14:schemeClr w14:val="tx1"/>
                  </w14:solidFill>
                </w14:textFill>
              </w:rPr>
              <w:drawing>
                <wp:inline distT="0" distB="0" distL="114300" distR="114300">
                  <wp:extent cx="4631690" cy="3294380"/>
                  <wp:effectExtent l="0" t="0" r="16510" b="1270"/>
                  <wp:docPr id="11" name="图片 42" descr="1af8cfa334bd48fca4049e4e2682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descr="1af8cfa334bd48fca4049e4e268259c"/>
                          <pic:cNvPicPr>
                            <a:picLocks noChangeAspect="1"/>
                          </pic:cNvPicPr>
                        </pic:nvPicPr>
                        <pic:blipFill>
                          <a:blip r:embed="rId8"/>
                          <a:stretch>
                            <a:fillRect/>
                          </a:stretch>
                        </pic:blipFill>
                        <pic:spPr>
                          <a:xfrm>
                            <a:off x="0" y="0"/>
                            <a:ext cx="4631690" cy="3294380"/>
                          </a:xfrm>
                          <a:prstGeom prst="rect">
                            <a:avLst/>
                          </a:prstGeom>
                          <a:noFill/>
                          <a:ln>
                            <a:noFill/>
                          </a:ln>
                        </pic:spPr>
                      </pic:pic>
                    </a:graphicData>
                  </a:graphic>
                </wp:inline>
              </w:drawing>
            </w:r>
          </w:p>
          <w:p w14:paraId="16D22CCD">
            <w:pPr>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baseline"/>
              <w:rPr>
                <w:rFonts w:hint="eastAsia"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图1-1 甘孜州生态环境管控单元分布图</w:t>
            </w:r>
          </w:p>
          <w:p w14:paraId="2916167E">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（1）与四川省生态环境分区管控单元符合性分析</w:t>
            </w:r>
          </w:p>
          <w:p w14:paraId="4EFCC1B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baseline"/>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经查询四川政务服务网“生态环境分区管控公众服务”在线查询。本项目涉及管控单元信息如下：</w:t>
            </w:r>
          </w:p>
          <w:p w14:paraId="1D113F3D">
            <w:pPr>
              <w:spacing w:before="205" w:line="360" w:lineRule="auto"/>
              <w:ind w:left="0"/>
              <w:jc w:val="cente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highlight w:val="none"/>
                <w:lang w:val="en-US" w:eastAsia="zh-CN"/>
                <w14:textFill>
                  <w14:solidFill>
                    <w14:schemeClr w14:val="tx1"/>
                  </w14:solidFill>
                </w14:textFill>
              </w:rPr>
              <w:t xml:space="preserve">表1-2  </w:t>
            </w:r>
            <w:r>
              <w:rPr>
                <w:rFonts w:hint="eastAsia" w:asciiTheme="minorEastAsia" w:hAnsiTheme="minorEastAsia" w:eastAsiaTheme="minorEastAsia" w:cstheme="minorEastAsia"/>
                <w:b/>
                <w:bCs/>
                <w:color w:val="000000" w:themeColor="text1"/>
                <w:spacing w:val="-4"/>
                <w:sz w:val="24"/>
                <w:szCs w:val="24"/>
                <w:highlight w:val="none"/>
                <w14:textFill>
                  <w14:solidFill>
                    <w14:schemeClr w14:val="tx1"/>
                  </w14:solidFill>
                </w14:textFill>
              </w:rPr>
              <w:t>涉及的生态环境管控单元</w:t>
            </w:r>
          </w:p>
          <w:tbl>
            <w:tblPr>
              <w:tblStyle w:val="89"/>
              <w:tblW w:w="733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3"/>
              <w:gridCol w:w="1986"/>
              <w:gridCol w:w="2216"/>
              <w:gridCol w:w="1222"/>
              <w:gridCol w:w="1530"/>
            </w:tblGrid>
            <w:tr w14:paraId="4A8EC2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4C77C0EA">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6"/>
                      <w:sz w:val="21"/>
                      <w:szCs w:val="21"/>
                      <w:highlight w:val="none"/>
                      <w14:textFill>
                        <w14:solidFill>
                          <w14:schemeClr w14:val="tx1"/>
                        </w14:solidFill>
                      </w14:textFill>
                    </w:rPr>
                    <w:t>序号</w:t>
                  </w:r>
                </w:p>
              </w:tc>
              <w:tc>
                <w:tcPr>
                  <w:tcW w:w="1353" w:type="pct"/>
                  <w:tcBorders>
                    <w:tl2br w:val="nil"/>
                    <w:tr2bl w:val="nil"/>
                  </w:tcBorders>
                  <w:vAlign w:val="center"/>
                </w:tcPr>
                <w:p w14:paraId="69683B31">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涉及环境管控单元名称</w:t>
                  </w:r>
                </w:p>
              </w:tc>
              <w:tc>
                <w:tcPr>
                  <w:tcW w:w="1509" w:type="pct"/>
                  <w:tcBorders>
                    <w:tl2br w:val="nil"/>
                    <w:tr2bl w:val="nil"/>
                  </w:tcBorders>
                  <w:vAlign w:val="center"/>
                </w:tcPr>
                <w:p w14:paraId="4FAAB111">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涉及环境管控单元编码</w:t>
                  </w:r>
                </w:p>
              </w:tc>
              <w:tc>
                <w:tcPr>
                  <w:tcW w:w="832" w:type="pct"/>
                  <w:tcBorders>
                    <w:tl2br w:val="nil"/>
                    <w:tr2bl w:val="nil"/>
                  </w:tcBorders>
                  <w:vAlign w:val="center"/>
                </w:tcPr>
                <w:p w14:paraId="2C5476BA">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1"/>
                      <w:szCs w:val="21"/>
                      <w:highlight w:val="none"/>
                      <w14:textFill>
                        <w14:solidFill>
                          <w14:schemeClr w14:val="tx1"/>
                        </w14:solidFill>
                      </w14:textFill>
                    </w:rPr>
                    <w:t>行政区划</w:t>
                  </w:r>
                </w:p>
              </w:tc>
              <w:tc>
                <w:tcPr>
                  <w:tcW w:w="1042" w:type="pct"/>
                  <w:tcBorders>
                    <w:tl2br w:val="nil"/>
                    <w:tr2bl w:val="nil"/>
                  </w:tcBorders>
                  <w:vAlign w:val="center"/>
                </w:tcPr>
                <w:p w14:paraId="7BD4E414">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环境管控单元类型</w:t>
                  </w:r>
                </w:p>
              </w:tc>
            </w:tr>
            <w:tr w14:paraId="570A9E4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005A3951">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1353" w:type="pct"/>
                  <w:tcBorders>
                    <w:tl2br w:val="nil"/>
                    <w:tr2bl w:val="nil"/>
                  </w:tcBorders>
                  <w:vAlign w:val="center"/>
                </w:tcPr>
                <w:p w14:paraId="02A1E05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甘孜县城镇空间</w:t>
                  </w:r>
                </w:p>
              </w:tc>
              <w:tc>
                <w:tcPr>
                  <w:tcW w:w="1509" w:type="pct"/>
                  <w:tcBorders>
                    <w:tl2br w:val="nil"/>
                    <w:tr2bl w:val="nil"/>
                  </w:tcBorders>
                  <w:vAlign w:val="center"/>
                </w:tcPr>
                <w:p w14:paraId="6598972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ZH51332820001</w:t>
                  </w:r>
                </w:p>
              </w:tc>
              <w:tc>
                <w:tcPr>
                  <w:tcW w:w="832" w:type="pct"/>
                  <w:tcBorders>
                    <w:tl2br w:val="nil"/>
                    <w:tr2bl w:val="nil"/>
                  </w:tcBorders>
                  <w:vAlign w:val="center"/>
                </w:tcPr>
                <w:p w14:paraId="4685B7F1">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甘孜藏族自治州</w:t>
                  </w:r>
                </w:p>
              </w:tc>
              <w:tc>
                <w:tcPr>
                  <w:tcW w:w="1042" w:type="pct"/>
                  <w:tcBorders>
                    <w:tl2br w:val="nil"/>
                    <w:tr2bl w:val="nil"/>
                  </w:tcBorders>
                  <w:vAlign w:val="center"/>
                </w:tcPr>
                <w:p w14:paraId="78179E05">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重点管控单元</w:t>
                  </w:r>
                </w:p>
              </w:tc>
            </w:tr>
          </w:tbl>
          <w:p w14:paraId="50C1EBDD">
            <w:pPr>
              <w:spacing w:before="149" w:line="222" w:lineRule="auto"/>
              <w:ind w:left="0"/>
              <w:jc w:val="cente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3"/>
                <w:sz w:val="24"/>
                <w:szCs w:val="24"/>
                <w:highlight w:val="none"/>
                <w14:textFill>
                  <w14:solidFill>
                    <w14:schemeClr w14:val="tx1"/>
                  </w14:solidFill>
                </w14:textFill>
              </w:rPr>
              <w:t>表1-</w:t>
            </w:r>
            <w:r>
              <w:rPr>
                <w:rFonts w:hint="eastAsia" w:asciiTheme="minorEastAsia" w:hAnsiTheme="minorEastAsia" w:eastAsiaTheme="minorEastAsia" w:cstheme="minorEastAsia"/>
                <w:b/>
                <w:bCs/>
                <w:color w:val="000000" w:themeColor="text1"/>
                <w:spacing w:val="-3"/>
                <w:sz w:val="24"/>
                <w:szCs w:val="24"/>
                <w:highlight w:val="none"/>
                <w:lang w:eastAsia="zh-CN"/>
                <w14:textFill>
                  <w14:solidFill>
                    <w14:schemeClr w14:val="tx1"/>
                  </w14:solidFill>
                </w14:textFill>
              </w:rPr>
              <w:t>3</w:t>
            </w:r>
            <w:r>
              <w:rPr>
                <w:rFonts w:hint="eastAsia" w:asciiTheme="minorEastAsia" w:hAnsiTheme="minorEastAsia" w:eastAsiaTheme="minorEastAsia" w:cstheme="minorEastAsia"/>
                <w:b/>
                <w:bCs/>
                <w:color w:val="000000" w:themeColor="text1"/>
                <w:spacing w:val="-3"/>
                <w:sz w:val="24"/>
                <w:szCs w:val="24"/>
                <w:highlight w:val="none"/>
                <w14:textFill>
                  <w14:solidFill>
                    <w14:schemeClr w14:val="tx1"/>
                  </w14:solidFill>
                </w14:textFill>
              </w:rPr>
              <w:t xml:space="preserve"> 涉及的环境要素管控分区</w:t>
            </w:r>
          </w:p>
          <w:tbl>
            <w:tblPr>
              <w:tblStyle w:val="89"/>
              <w:tblW w:w="729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0"/>
              <w:gridCol w:w="1905"/>
              <w:gridCol w:w="1570"/>
              <w:gridCol w:w="916"/>
              <w:gridCol w:w="1144"/>
              <w:gridCol w:w="1453"/>
            </w:tblGrid>
            <w:tr w14:paraId="4DF579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28EB6A92">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6"/>
                      <w:sz w:val="21"/>
                      <w:szCs w:val="21"/>
                      <w:highlight w:val="none"/>
                      <w14:textFill>
                        <w14:solidFill>
                          <w14:schemeClr w14:val="tx1"/>
                        </w14:solidFill>
                      </w14:textFill>
                    </w:rPr>
                    <w:t>序号</w:t>
                  </w:r>
                </w:p>
              </w:tc>
              <w:tc>
                <w:tcPr>
                  <w:tcW w:w="1353" w:type="pct"/>
                  <w:tcBorders>
                    <w:tl2br w:val="nil"/>
                    <w:tr2bl w:val="nil"/>
                  </w:tcBorders>
                  <w:vAlign w:val="center"/>
                </w:tcPr>
                <w:p w14:paraId="628A4A1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涉及环境要素管控分区名称</w:t>
                  </w:r>
                </w:p>
              </w:tc>
              <w:tc>
                <w:tcPr>
                  <w:tcW w:w="832" w:type="pct"/>
                  <w:tcBorders>
                    <w:tl2br w:val="nil"/>
                    <w:tr2bl w:val="nil"/>
                  </w:tcBorders>
                  <w:vAlign w:val="center"/>
                </w:tcPr>
                <w:p w14:paraId="4684EE49">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1"/>
                      <w:szCs w:val="21"/>
                      <w:highlight w:val="none"/>
                      <w14:textFill>
                        <w14:solidFill>
                          <w14:schemeClr w14:val="tx1"/>
                        </w14:solidFill>
                      </w14:textFill>
                    </w:rPr>
                    <w:t>涉及环境要素管控</w:t>
                  </w:r>
                  <w:r>
                    <w:rPr>
                      <w:rFonts w:hint="eastAsia" w:asciiTheme="minorEastAsia" w:hAnsiTheme="minorEastAsia" w:eastAsiaTheme="minorEastAsia" w:cstheme="minorEastAsia"/>
                      <w:b/>
                      <w:bCs/>
                      <w:color w:val="000000" w:themeColor="text1"/>
                      <w:spacing w:val="-6"/>
                      <w:sz w:val="21"/>
                      <w:szCs w:val="21"/>
                      <w:highlight w:val="none"/>
                      <w14:textFill>
                        <w14:solidFill>
                          <w14:schemeClr w14:val="tx1"/>
                        </w14:solidFill>
                      </w14:textFill>
                    </w:rPr>
                    <w:t>分区编码</w:t>
                  </w:r>
                </w:p>
              </w:tc>
              <w:tc>
                <w:tcPr>
                  <w:tcW w:w="676" w:type="pct"/>
                  <w:tcBorders>
                    <w:tl2br w:val="nil"/>
                    <w:tr2bl w:val="nil"/>
                  </w:tcBorders>
                  <w:vAlign w:val="center"/>
                </w:tcPr>
                <w:p w14:paraId="0B4D313C">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1"/>
                      <w:szCs w:val="21"/>
                      <w:highlight w:val="none"/>
                      <w14:textFill>
                        <w14:solidFill>
                          <w14:schemeClr w14:val="tx1"/>
                        </w14:solidFill>
                      </w14:textFill>
                    </w:rPr>
                    <w:t>行政区划</w:t>
                  </w:r>
                </w:p>
              </w:tc>
              <w:tc>
                <w:tcPr>
                  <w:tcW w:w="832" w:type="pct"/>
                  <w:tcBorders>
                    <w:tl2br w:val="nil"/>
                    <w:tr2bl w:val="nil"/>
                  </w:tcBorders>
                  <w:vAlign w:val="center"/>
                </w:tcPr>
                <w:p w14:paraId="1AA49B4B">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环境要素类型</w:t>
                  </w:r>
                </w:p>
              </w:tc>
              <w:tc>
                <w:tcPr>
                  <w:tcW w:w="1043" w:type="pct"/>
                  <w:tcBorders>
                    <w:tl2br w:val="nil"/>
                    <w:tr2bl w:val="nil"/>
                  </w:tcBorders>
                  <w:vAlign w:val="center"/>
                </w:tcPr>
                <w:p w14:paraId="0EA4B188">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环境要素细类</w:t>
                  </w:r>
                </w:p>
              </w:tc>
            </w:tr>
            <w:tr w14:paraId="49794BD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3292316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position w:val="1"/>
                      <w:sz w:val="21"/>
                      <w:szCs w:val="21"/>
                      <w:highlight w:val="none"/>
                      <w14:textFill>
                        <w14:solidFill>
                          <w14:schemeClr w14:val="tx1"/>
                        </w14:solidFill>
                      </w14:textFill>
                    </w:rPr>
                    <w:t>1</w:t>
                  </w:r>
                </w:p>
              </w:tc>
              <w:tc>
                <w:tcPr>
                  <w:tcW w:w="1353" w:type="pct"/>
                  <w:tcBorders>
                    <w:tl2br w:val="nil"/>
                    <w:tr2bl w:val="nil"/>
                  </w:tcBorders>
                  <w:vAlign w:val="center"/>
                </w:tcPr>
                <w:p w14:paraId="05EF734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甘孜县其他区域</w:t>
                  </w:r>
                </w:p>
              </w:tc>
              <w:tc>
                <w:tcPr>
                  <w:tcW w:w="832" w:type="pct"/>
                  <w:tcBorders>
                    <w:tl2br w:val="nil"/>
                    <w:tr2bl w:val="nil"/>
                  </w:tcBorders>
                  <w:vAlign w:val="center"/>
                </w:tcPr>
                <w:p w14:paraId="3423B7D8">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YS5133283110001</w:t>
                  </w:r>
                </w:p>
              </w:tc>
              <w:tc>
                <w:tcPr>
                  <w:tcW w:w="676" w:type="pct"/>
                  <w:tcBorders>
                    <w:tl2br w:val="nil"/>
                    <w:tr2bl w:val="nil"/>
                  </w:tcBorders>
                  <w:vAlign w:val="center"/>
                </w:tcPr>
                <w:p w14:paraId="13ED59E4">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甘孜藏族自治</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州</w:t>
                  </w:r>
                </w:p>
              </w:tc>
              <w:tc>
                <w:tcPr>
                  <w:tcW w:w="832" w:type="pct"/>
                  <w:tcBorders>
                    <w:tl2br w:val="nil"/>
                    <w:tr2bl w:val="nil"/>
                  </w:tcBorders>
                  <w:vAlign w:val="center"/>
                </w:tcPr>
                <w:p w14:paraId="215C61AF">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7"/>
                      <w:sz w:val="21"/>
                      <w:szCs w:val="21"/>
                      <w:highlight w:val="none"/>
                      <w14:textFill>
                        <w14:solidFill>
                          <w14:schemeClr w14:val="tx1"/>
                        </w14:solidFill>
                      </w14:textFill>
                    </w:rPr>
                    <w:t>生态</w:t>
                  </w:r>
                </w:p>
              </w:tc>
              <w:tc>
                <w:tcPr>
                  <w:tcW w:w="1043" w:type="pct"/>
                  <w:tcBorders>
                    <w:tl2br w:val="nil"/>
                    <w:tr2bl w:val="nil"/>
                  </w:tcBorders>
                  <w:vAlign w:val="center"/>
                </w:tcPr>
                <w:p w14:paraId="1377018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一般管控区</w:t>
                  </w:r>
                </w:p>
              </w:tc>
            </w:tr>
            <w:tr w14:paraId="6379A4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09BF257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position w:val="1"/>
                      <w:sz w:val="21"/>
                      <w:szCs w:val="21"/>
                      <w:highlight w:val="none"/>
                      <w14:textFill>
                        <w14:solidFill>
                          <w14:schemeClr w14:val="tx1"/>
                        </w14:solidFill>
                      </w14:textFill>
                    </w:rPr>
                    <w:t>2</w:t>
                  </w:r>
                </w:p>
              </w:tc>
              <w:tc>
                <w:tcPr>
                  <w:tcW w:w="1353" w:type="pct"/>
                  <w:tcBorders>
                    <w:tl2br w:val="nil"/>
                    <w:tr2bl w:val="nil"/>
                  </w:tcBorders>
                  <w:vAlign w:val="center"/>
                </w:tcPr>
                <w:p w14:paraId="68316BF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雅砻江干流-德格县、甘孜县-</w:t>
                  </w: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呷拉乡-控制单元</w:t>
                  </w:r>
                </w:p>
              </w:tc>
              <w:tc>
                <w:tcPr>
                  <w:tcW w:w="832" w:type="pct"/>
                  <w:tcBorders>
                    <w:tl2br w:val="nil"/>
                    <w:tr2bl w:val="nil"/>
                  </w:tcBorders>
                  <w:vAlign w:val="center"/>
                </w:tcPr>
                <w:p w14:paraId="50C2F1A8">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YS5133282220001</w:t>
                  </w:r>
                </w:p>
              </w:tc>
              <w:tc>
                <w:tcPr>
                  <w:tcW w:w="676" w:type="pct"/>
                  <w:tcBorders>
                    <w:tl2br w:val="nil"/>
                    <w:tr2bl w:val="nil"/>
                  </w:tcBorders>
                  <w:vAlign w:val="center"/>
                </w:tcPr>
                <w:p w14:paraId="3EB619E6">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甘孜藏族自治</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州</w:t>
                  </w:r>
                </w:p>
              </w:tc>
              <w:tc>
                <w:tcPr>
                  <w:tcW w:w="832" w:type="pct"/>
                  <w:tcBorders>
                    <w:tl2br w:val="nil"/>
                    <w:tr2bl w:val="nil"/>
                  </w:tcBorders>
                  <w:vAlign w:val="center"/>
                </w:tcPr>
                <w:p w14:paraId="30515457">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水</w:t>
                  </w:r>
                </w:p>
              </w:tc>
              <w:tc>
                <w:tcPr>
                  <w:tcW w:w="1043" w:type="pct"/>
                  <w:tcBorders>
                    <w:tl2br w:val="nil"/>
                    <w:tr2bl w:val="nil"/>
                  </w:tcBorders>
                  <w:vAlign w:val="center"/>
                </w:tcPr>
                <w:p w14:paraId="37F6AB7B">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水环境城镇生活污染</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重点管控区</w:t>
                  </w:r>
                </w:p>
              </w:tc>
            </w:tr>
            <w:tr w14:paraId="17F005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401E7543">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353" w:type="pct"/>
                  <w:tcBorders>
                    <w:tl2br w:val="nil"/>
                    <w:tr2bl w:val="nil"/>
                  </w:tcBorders>
                  <w:vAlign w:val="center"/>
                </w:tcPr>
                <w:p w14:paraId="6FE49116">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甘孜县城镇集中建设区</w:t>
                  </w:r>
                </w:p>
              </w:tc>
              <w:tc>
                <w:tcPr>
                  <w:tcW w:w="832" w:type="pct"/>
                  <w:tcBorders>
                    <w:tl2br w:val="nil"/>
                    <w:tr2bl w:val="nil"/>
                  </w:tcBorders>
                  <w:vAlign w:val="center"/>
                </w:tcPr>
                <w:p w14:paraId="5B895F2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YS5133282340001</w:t>
                  </w:r>
                </w:p>
              </w:tc>
              <w:tc>
                <w:tcPr>
                  <w:tcW w:w="676" w:type="pct"/>
                  <w:tcBorders>
                    <w:tl2br w:val="nil"/>
                    <w:tr2bl w:val="nil"/>
                  </w:tcBorders>
                  <w:vAlign w:val="center"/>
                </w:tcPr>
                <w:p w14:paraId="39E42907">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甘孜藏族自治</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州</w:t>
                  </w:r>
                </w:p>
              </w:tc>
              <w:tc>
                <w:tcPr>
                  <w:tcW w:w="832" w:type="pct"/>
                  <w:tcBorders>
                    <w:tl2br w:val="nil"/>
                    <w:tr2bl w:val="nil"/>
                  </w:tcBorders>
                  <w:vAlign w:val="center"/>
                </w:tcPr>
                <w:p w14:paraId="1B6A5FC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大气</w:t>
                  </w:r>
                </w:p>
              </w:tc>
              <w:tc>
                <w:tcPr>
                  <w:tcW w:w="1043" w:type="pct"/>
                  <w:tcBorders>
                    <w:tl2br w:val="nil"/>
                    <w:tr2bl w:val="nil"/>
                  </w:tcBorders>
                  <w:vAlign w:val="center"/>
                </w:tcPr>
                <w:p w14:paraId="44DB32FC">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大气环境受体敏感重</w:t>
                  </w:r>
                  <w:r>
                    <w:rPr>
                      <w:rFonts w:hint="eastAsia" w:asciiTheme="minorEastAsia" w:hAnsiTheme="minorEastAsia" w:eastAsiaTheme="minorEastAsia" w:cstheme="minorEastAsia"/>
                      <w:color w:val="000000" w:themeColor="text1"/>
                      <w:spacing w:val="-5"/>
                      <w:sz w:val="21"/>
                      <w:szCs w:val="21"/>
                      <w:highlight w:val="none"/>
                      <w14:textFill>
                        <w14:solidFill>
                          <w14:schemeClr w14:val="tx1"/>
                        </w14:solidFill>
                      </w14:textFill>
                    </w:rPr>
                    <w:t>点管控区</w:t>
                  </w:r>
                </w:p>
              </w:tc>
            </w:tr>
            <w:tr w14:paraId="1B93A4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125A912B">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position w:val="1"/>
                      <w:sz w:val="21"/>
                      <w:szCs w:val="21"/>
                      <w:highlight w:val="none"/>
                      <w14:textFill>
                        <w14:solidFill>
                          <w14:schemeClr w14:val="tx1"/>
                        </w14:solidFill>
                      </w14:textFill>
                    </w:rPr>
                    <w:t>4</w:t>
                  </w:r>
                </w:p>
              </w:tc>
              <w:tc>
                <w:tcPr>
                  <w:tcW w:w="1353" w:type="pct"/>
                  <w:tcBorders>
                    <w:tl2br w:val="nil"/>
                    <w:tr2bl w:val="nil"/>
                  </w:tcBorders>
                  <w:vAlign w:val="center"/>
                </w:tcPr>
                <w:p w14:paraId="40461CEA">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甘孜县自然资源重点管控区</w:t>
                  </w:r>
                </w:p>
              </w:tc>
              <w:tc>
                <w:tcPr>
                  <w:tcW w:w="832" w:type="pct"/>
                  <w:tcBorders>
                    <w:tl2br w:val="nil"/>
                    <w:tr2bl w:val="nil"/>
                  </w:tcBorders>
                  <w:vAlign w:val="center"/>
                </w:tcPr>
                <w:p w14:paraId="5D4E8AFB">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YS5133282550001</w:t>
                  </w:r>
                </w:p>
              </w:tc>
              <w:tc>
                <w:tcPr>
                  <w:tcW w:w="676" w:type="pct"/>
                  <w:tcBorders>
                    <w:tl2br w:val="nil"/>
                    <w:tr2bl w:val="nil"/>
                  </w:tcBorders>
                  <w:vAlign w:val="center"/>
                </w:tcPr>
                <w:p w14:paraId="6E659D9A">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甘孜藏族自治</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州</w:t>
                  </w:r>
                </w:p>
              </w:tc>
              <w:tc>
                <w:tcPr>
                  <w:tcW w:w="832" w:type="pct"/>
                  <w:tcBorders>
                    <w:tl2br w:val="nil"/>
                    <w:tr2bl w:val="nil"/>
                  </w:tcBorders>
                  <w:vAlign w:val="center"/>
                </w:tcPr>
                <w:p w14:paraId="7F19E58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0"/>
                      <w:sz w:val="21"/>
                      <w:szCs w:val="21"/>
                      <w:highlight w:val="none"/>
                      <w14:textFill>
                        <w14:solidFill>
                          <w14:schemeClr w14:val="tx1"/>
                        </w14:solidFill>
                      </w14:textFill>
                    </w:rPr>
                    <w:t>自然资源</w:t>
                  </w:r>
                </w:p>
              </w:tc>
              <w:tc>
                <w:tcPr>
                  <w:tcW w:w="1043" w:type="pct"/>
                  <w:tcBorders>
                    <w:tl2br w:val="nil"/>
                    <w:tr2bl w:val="nil"/>
                  </w:tcBorders>
                  <w:vAlign w:val="center"/>
                </w:tcPr>
                <w:p w14:paraId="79386C20">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highlight w:val="none"/>
                      <w14:textFill>
                        <w14:solidFill>
                          <w14:schemeClr w14:val="tx1"/>
                        </w14:solidFill>
                      </w14:textFill>
                    </w:rPr>
                    <w:t>自然资源重点管控区</w:t>
                  </w:r>
                </w:p>
              </w:tc>
            </w:tr>
            <w:tr w14:paraId="70E5C1F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1" w:type="pct"/>
                  <w:tcBorders>
                    <w:tl2br w:val="nil"/>
                    <w:tr2bl w:val="nil"/>
                  </w:tcBorders>
                  <w:vAlign w:val="center"/>
                </w:tcPr>
                <w:p w14:paraId="6580DBD5">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w:t>
                  </w:r>
                </w:p>
              </w:tc>
              <w:tc>
                <w:tcPr>
                  <w:tcW w:w="1353" w:type="pct"/>
                  <w:tcBorders>
                    <w:tl2br w:val="nil"/>
                    <w:tr2bl w:val="nil"/>
                  </w:tcBorders>
                  <w:vAlign w:val="center"/>
                </w:tcPr>
                <w:p w14:paraId="7D89D267">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甘孜县城镇开发边界</w:t>
                  </w:r>
                </w:p>
              </w:tc>
              <w:tc>
                <w:tcPr>
                  <w:tcW w:w="832" w:type="pct"/>
                  <w:tcBorders>
                    <w:tl2br w:val="nil"/>
                    <w:tr2bl w:val="nil"/>
                  </w:tcBorders>
                  <w:vAlign w:val="center"/>
                </w:tcPr>
                <w:p w14:paraId="0CA06359">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
                      <w:sz w:val="21"/>
                      <w:szCs w:val="21"/>
                      <w:highlight w:val="none"/>
                      <w14:textFill>
                        <w14:solidFill>
                          <w14:schemeClr w14:val="tx1"/>
                        </w14:solidFill>
                      </w14:textFill>
                    </w:rPr>
                    <w:t>YS5133282530001</w:t>
                  </w:r>
                </w:p>
              </w:tc>
              <w:tc>
                <w:tcPr>
                  <w:tcW w:w="676" w:type="pct"/>
                  <w:tcBorders>
                    <w:tl2br w:val="nil"/>
                    <w:tr2bl w:val="nil"/>
                  </w:tcBorders>
                  <w:vAlign w:val="center"/>
                </w:tcPr>
                <w:p w14:paraId="5C2957BE">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1"/>
                      <w:szCs w:val="21"/>
                      <w:highlight w:val="none"/>
                      <w14:textFill>
                        <w14:solidFill>
                          <w14:schemeClr w14:val="tx1"/>
                        </w14:solidFill>
                      </w14:textFill>
                    </w:rPr>
                    <w:t>甘孜藏族自治</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州</w:t>
                  </w:r>
                </w:p>
              </w:tc>
              <w:tc>
                <w:tcPr>
                  <w:tcW w:w="832" w:type="pct"/>
                  <w:tcBorders>
                    <w:tl2br w:val="nil"/>
                    <w:tr2bl w:val="nil"/>
                  </w:tcBorders>
                  <w:vAlign w:val="center"/>
                </w:tcPr>
                <w:p w14:paraId="178F05B7">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0"/>
                      <w:sz w:val="21"/>
                      <w:szCs w:val="21"/>
                      <w:highlight w:val="none"/>
                      <w14:textFill>
                        <w14:solidFill>
                          <w14:schemeClr w14:val="tx1"/>
                        </w14:solidFill>
                      </w14:textFill>
                    </w:rPr>
                    <w:t>自然资源</w:t>
                  </w:r>
                </w:p>
              </w:tc>
              <w:tc>
                <w:tcPr>
                  <w:tcW w:w="1043" w:type="pct"/>
                  <w:tcBorders>
                    <w:tl2br w:val="nil"/>
                    <w:tr2bl w:val="nil"/>
                  </w:tcBorders>
                  <w:vAlign w:val="center"/>
                </w:tcPr>
                <w:p w14:paraId="0B860533">
                  <w:pPr>
                    <w:pStyle w:val="107"/>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土地资源重点管控区</w:t>
                  </w:r>
                </w:p>
              </w:tc>
            </w:tr>
          </w:tbl>
          <w:p w14:paraId="231911C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baseline"/>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项目与管控单元相对位置如下图所示：（图中▼表示项目位置）</w:t>
            </w:r>
          </w:p>
          <w:p w14:paraId="2795EC58">
            <w:pPr>
              <w:pStyle w:val="42"/>
              <w:spacing w:beforeLines="0" w:afterLines="0"/>
              <w:ind w:firstLine="199" w:firstLineChars="83"/>
              <w:jc w:val="cente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21"/>
                <w:sz w:val="24"/>
                <w:szCs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1141730</wp:posOffset>
                      </wp:positionH>
                      <wp:positionV relativeFrom="paragraph">
                        <wp:posOffset>327660</wp:posOffset>
                      </wp:positionV>
                      <wp:extent cx="1071245" cy="268605"/>
                      <wp:effectExtent l="5080" t="4445" r="363855" b="598170"/>
                      <wp:wrapNone/>
                      <wp:docPr id="2" name="矩形标注 28"/>
                      <wp:cNvGraphicFramePr/>
                      <a:graphic xmlns:a="http://schemas.openxmlformats.org/drawingml/2006/main">
                        <a:graphicData uri="http://schemas.microsoft.com/office/word/2010/wordprocessingShape">
                          <wps:wsp>
                            <wps:cNvSpPr/>
                            <wps:spPr>
                              <a:xfrm>
                                <a:off x="0" y="0"/>
                                <a:ext cx="1071245" cy="268605"/>
                              </a:xfrm>
                              <a:prstGeom prst="wedgeRectCallout">
                                <a:avLst>
                                  <a:gd name="adj1" fmla="val 80705"/>
                                  <a:gd name="adj2" fmla="val 257328"/>
                                </a:avLst>
                              </a:prstGeom>
                              <a:solidFill>
                                <a:srgbClr val="FFFFFF"/>
                              </a:solidFill>
                              <a:ln w="6350" cap="flat" cmpd="sng">
                                <a:solidFill>
                                  <a:srgbClr val="000000"/>
                                </a:solidFill>
                                <a:prstDash val="solid"/>
                                <a:miter/>
                                <a:headEnd type="none" w="med" len="med"/>
                                <a:tailEnd type="none" w="med" len="med"/>
                              </a:ln>
                            </wps:spPr>
                            <wps:txbx>
                              <w:txbxContent>
                                <w:p w14:paraId="18CCAE75">
                                  <w:pPr>
                                    <w:jc w:val="center"/>
                                    <w:rPr>
                                      <w:color w:val="0000FF"/>
                                      <w:szCs w:val="21"/>
                                    </w:rPr>
                                  </w:pPr>
                                  <w:r>
                                    <w:rPr>
                                      <w:rFonts w:hint="eastAsia"/>
                                      <w:color w:val="0000FF"/>
                                      <w:szCs w:val="21"/>
                                    </w:rPr>
                                    <w:t>本项目所在地</w:t>
                                  </w:r>
                                </w:p>
                              </w:txbxContent>
                            </wps:txbx>
                            <wps:bodyPr vert="horz" wrap="square" anchor="t" anchorCtr="0" upright="1"/>
                          </wps:wsp>
                        </a:graphicData>
                      </a:graphic>
                    </wp:anchor>
                  </w:drawing>
                </mc:Choice>
                <mc:Fallback>
                  <w:pict>
                    <v:shape id="矩形标注 28" o:spid="_x0000_s1026" o:spt="61" type="#_x0000_t61" style="position:absolute;left:0pt;margin-left:89.9pt;margin-top:25.8pt;height:21.15pt;width:84.35pt;z-index:251664384;mso-width-relative:page;mso-height-relative:page;" fillcolor="#FFFFFF" filled="t" stroked="t" coordsize="21600,21600" o:gfxdata="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taOG9gA&#10;AAAJAQAADwAAAAAAAAABACAAAAAiAAAAZHJzL2Rvd25yZXYueG1sUEsBAhQAFAAAAAgAh07iQPRZ&#10;sIZYAgAAwQQAAA4AAAAAAAAAAQAgAAAAJwEAAGRycy9lMm9Eb2MueG1sUEsFBgAAAAAGAAYAWQEA&#10;APEFAAAAAA==&#10;" adj="28232,66383">
                      <v:fill on="t" focussize="0,0"/>
                      <v:stroke weight="0.5pt" color="#000000" joinstyle="miter"/>
                      <v:imagedata o:title=""/>
                      <o:lock v:ext="edit" aspectratio="f"/>
                      <v:textbox>
                        <w:txbxContent>
                          <w:p w14:paraId="18CCAE75">
                            <w:pPr>
                              <w:jc w:val="center"/>
                              <w:rPr>
                                <w:color w:val="0000FF"/>
                                <w:szCs w:val="21"/>
                              </w:rPr>
                            </w:pPr>
                            <w:r>
                              <w:rPr>
                                <w:rFonts w:hint="eastAsia"/>
                                <w:color w:val="0000FF"/>
                                <w:szCs w:val="21"/>
                              </w:rPr>
                              <w:t>本项目所在地</w:t>
                            </w:r>
                          </w:p>
                        </w:txbxContent>
                      </v:textbox>
                    </v:shape>
                  </w:pict>
                </mc:Fallback>
              </mc:AlternateConten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drawing>
                <wp:inline distT="0" distB="0" distL="114300" distR="114300">
                  <wp:extent cx="4869180" cy="2651760"/>
                  <wp:effectExtent l="0" t="0" r="7620" b="15240"/>
                  <wp:docPr id="6" name="图片 6"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图"/>
                          <pic:cNvPicPr>
                            <a:picLocks noChangeAspect="1"/>
                          </pic:cNvPicPr>
                        </pic:nvPicPr>
                        <pic:blipFill>
                          <a:blip r:embed="rId9"/>
                          <a:stretch>
                            <a:fillRect/>
                          </a:stretch>
                        </pic:blipFill>
                        <pic:spPr>
                          <a:xfrm>
                            <a:off x="0" y="0"/>
                            <a:ext cx="4869180" cy="2651760"/>
                          </a:xfrm>
                          <a:prstGeom prst="rect">
                            <a:avLst/>
                          </a:prstGeom>
                        </pic:spPr>
                      </pic:pic>
                    </a:graphicData>
                  </a:graphic>
                </wp:inline>
              </w:drawing>
            </w:r>
          </w:p>
          <w:p w14:paraId="19A16C37">
            <w:pPr>
              <w:pStyle w:val="42"/>
              <w:spacing w:beforeLines="0" w:afterLines="0"/>
              <w:ind w:firstLine="200" w:firstLineChars="83"/>
              <w:jc w:val="cente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图1-</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项目与环境综合管控单元的位置关系图</w:t>
            </w:r>
          </w:p>
          <w:p w14:paraId="4A51EC43">
            <w:pPr>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2108200</wp:posOffset>
                      </wp:positionH>
                      <wp:positionV relativeFrom="paragraph">
                        <wp:posOffset>975995</wp:posOffset>
                      </wp:positionV>
                      <wp:extent cx="1071245" cy="268605"/>
                      <wp:effectExtent l="27305" t="4445" r="21590" b="260350"/>
                      <wp:wrapNone/>
                      <wp:docPr id="5" name="矩形标注 28"/>
                      <wp:cNvGraphicFramePr/>
                      <a:graphic xmlns:a="http://schemas.openxmlformats.org/drawingml/2006/main">
                        <a:graphicData uri="http://schemas.microsoft.com/office/word/2010/wordprocessingShape">
                          <wps:wsp>
                            <wps:cNvSpPr/>
                            <wps:spPr>
                              <a:xfrm>
                                <a:off x="0" y="0"/>
                                <a:ext cx="1071245" cy="268605"/>
                              </a:xfrm>
                              <a:prstGeom prst="wedgeRectCallout">
                                <a:avLst>
                                  <a:gd name="adj1" fmla="val -50889"/>
                                  <a:gd name="adj2" fmla="val 138888"/>
                                </a:avLst>
                              </a:prstGeom>
                              <a:solidFill>
                                <a:srgbClr val="FFFFFF"/>
                              </a:solidFill>
                              <a:ln w="6350" cap="flat" cmpd="sng">
                                <a:solidFill>
                                  <a:srgbClr val="000000"/>
                                </a:solidFill>
                                <a:prstDash val="solid"/>
                                <a:miter/>
                                <a:headEnd type="none" w="med" len="med"/>
                                <a:tailEnd type="none" w="med" len="med"/>
                              </a:ln>
                            </wps:spPr>
                            <wps:txbx>
                              <w:txbxContent>
                                <w:p w14:paraId="1AD2D706">
                                  <w:pPr>
                                    <w:jc w:val="center"/>
                                    <w:rPr>
                                      <w:color w:val="000000"/>
                                      <w:szCs w:val="21"/>
                                    </w:rPr>
                                  </w:pPr>
                                  <w:r>
                                    <w:rPr>
                                      <w:rFonts w:hint="eastAsia"/>
                                      <w:color w:val="000000"/>
                                      <w:szCs w:val="21"/>
                                    </w:rPr>
                                    <w:t>本项目所在地</w:t>
                                  </w:r>
                                </w:p>
                              </w:txbxContent>
                            </wps:txbx>
                            <wps:bodyPr vert="horz" wrap="square" anchor="t" anchorCtr="0" upright="1"/>
                          </wps:wsp>
                        </a:graphicData>
                      </a:graphic>
                    </wp:anchor>
                  </w:drawing>
                </mc:Choice>
                <mc:Fallback>
                  <w:pict>
                    <v:shape id="矩形标注 28" o:spid="_x0000_s1026" o:spt="61" type="#_x0000_t61" style="position:absolute;left:0pt;margin-left:166pt;margin-top:76.85pt;height:21.15pt;width:84.35pt;z-index:251665408;mso-width-relative:page;mso-height-relative:page;" fillcolor="#FFFFFF" filled="t" stroked="t" coordsize="21600,21600" o:gfxdata="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zmiazYAAAA&#10;CwEAAA8AAAAAAAAAAQAgAAAAIgAAAGRycy9kb3ducmV2LnhtbFBLAQIUABQAAAAIAIdO4kD6uHC7&#10;VgIAAMIEAAAOAAAAAAAAAAEAIAAAACcBAABkcnMvZTJvRG9jLnhtbFBLBQYAAAAABgAGAFkBAADv&#10;BQAAAAA=&#10;" adj="-192,40800">
                      <v:fill on="t" focussize="0,0"/>
                      <v:stroke weight="0.5pt" color="#000000" joinstyle="miter"/>
                      <v:imagedata o:title=""/>
                      <o:lock v:ext="edit" aspectratio="f"/>
                      <v:textbox>
                        <w:txbxContent>
                          <w:p w14:paraId="1AD2D706">
                            <w:pPr>
                              <w:jc w:val="center"/>
                              <w:rPr>
                                <w:color w:val="000000"/>
                                <w:szCs w:val="21"/>
                              </w:rPr>
                            </w:pPr>
                            <w:r>
                              <w:rPr>
                                <w:rFonts w:hint="eastAsia"/>
                                <w:color w:val="000000"/>
                                <w:szCs w:val="21"/>
                              </w:rPr>
                              <w:t>本项目所在地</w:t>
                            </w:r>
                          </w:p>
                        </w:txbxContent>
                      </v:textbox>
                    </v:shape>
                  </w:pict>
                </mc:Fallback>
              </mc:AlternateContent>
            </w:r>
            <w:r>
              <w:rPr>
                <w:rFonts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4643755" cy="3223260"/>
                  <wp:effectExtent l="0" t="0" r="4445" b="15240"/>
                  <wp:docPr id="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3"/>
                          <pic:cNvPicPr>
                            <a:picLocks noChangeAspect="1"/>
                          </pic:cNvPicPr>
                        </pic:nvPicPr>
                        <pic:blipFill>
                          <a:blip r:embed="rId10"/>
                          <a:stretch>
                            <a:fillRect/>
                          </a:stretch>
                        </pic:blipFill>
                        <pic:spPr>
                          <a:xfrm>
                            <a:off x="0" y="0"/>
                            <a:ext cx="4643755" cy="3223260"/>
                          </a:xfrm>
                          <a:prstGeom prst="rect">
                            <a:avLst/>
                          </a:prstGeom>
                          <a:noFill/>
                          <a:ln>
                            <a:noFill/>
                          </a:ln>
                        </pic:spPr>
                      </pic:pic>
                    </a:graphicData>
                  </a:graphic>
                </wp:inline>
              </w:drawing>
            </w:r>
          </w:p>
          <w:p w14:paraId="45383BA6">
            <w:pPr>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图1-</w:t>
            </w:r>
            <w:r>
              <w:rPr>
                <w:rFonts w:hint="eastAsia"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项目与甘孜州生态红线相对位置关系图</w:t>
            </w:r>
          </w:p>
          <w:p w14:paraId="1F6804D0">
            <w:pPr>
              <w:spacing w:beforeLines="0" w:afterLines="0" w:line="360" w:lineRule="auto"/>
              <w:ind w:firstLine="482" w:firstLineChars="200"/>
              <w:textAlignment w:val="baseline"/>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生态环境管控要求</w:t>
            </w:r>
          </w:p>
          <w:p w14:paraId="461306EE">
            <w:pPr>
              <w:spacing w:beforeLines="0" w:afterLines="0" w:line="360" w:lineRule="auto"/>
              <w:ind w:firstLine="0" w:firstLineChars="0"/>
              <w:jc w:val="center"/>
              <w:textAlignment w:val="baseline"/>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表1-</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项目与四川省生态环境分区管控相关要求的符合性分析</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21"/>
              <w:gridCol w:w="314"/>
              <w:gridCol w:w="332"/>
              <w:gridCol w:w="841"/>
              <w:gridCol w:w="2130"/>
              <w:gridCol w:w="1946"/>
              <w:gridCol w:w="677"/>
            </w:tblGrid>
            <w:tr w14:paraId="2AF13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44" w:type="pct"/>
                  <w:gridSpan w:val="5"/>
                  <w:noWrap w:val="0"/>
                  <w:tcMar>
                    <w:top w:w="0" w:type="dxa"/>
                    <w:left w:w="28" w:type="dxa"/>
                    <w:bottom w:w="0" w:type="dxa"/>
                    <w:right w:w="28" w:type="dxa"/>
                  </w:tcMar>
                  <w:vAlign w:val="center"/>
                </w:tcPr>
                <w:p w14:paraId="59EA1D1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r>
                    <w:rPr>
                      <w:rFonts w:hint="eastAsia"/>
                      <w:b/>
                      <w:bCs/>
                      <w:color w:val="000000" w:themeColor="text1"/>
                      <w:szCs w:val="21"/>
                      <w:highlight w:val="none"/>
                      <w:u w:val="none"/>
                      <w:lang w:val="en-US" w:eastAsia="zh-CN"/>
                      <w14:textFill>
                        <w14:solidFill>
                          <w14:schemeClr w14:val="tx1"/>
                        </w14:solidFill>
                      </w14:textFill>
                    </w:rPr>
                    <w:t>生态环境分区管控</w:t>
                  </w:r>
                  <w:r>
                    <w:rPr>
                      <w:b/>
                      <w:bCs/>
                      <w:color w:val="000000" w:themeColor="text1"/>
                      <w:szCs w:val="21"/>
                      <w:highlight w:val="none"/>
                      <w:u w:val="none"/>
                      <w14:textFill>
                        <w14:solidFill>
                          <w14:schemeClr w14:val="tx1"/>
                        </w14:solidFill>
                      </w14:textFill>
                    </w:rPr>
                    <w:t>的具体要求</w:t>
                  </w:r>
                </w:p>
              </w:tc>
              <w:tc>
                <w:tcPr>
                  <w:tcW w:w="1081" w:type="pct"/>
                  <w:vMerge w:val="restart"/>
                  <w:noWrap w:val="0"/>
                  <w:tcMar>
                    <w:top w:w="0" w:type="dxa"/>
                    <w:left w:w="28" w:type="dxa"/>
                    <w:bottom w:w="0" w:type="dxa"/>
                    <w:right w:w="28" w:type="dxa"/>
                  </w:tcMar>
                  <w:vAlign w:val="center"/>
                </w:tcPr>
                <w:p w14:paraId="2DEA130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r>
                    <w:rPr>
                      <w:b/>
                      <w:bCs/>
                      <w:color w:val="000000" w:themeColor="text1"/>
                      <w:szCs w:val="21"/>
                      <w:highlight w:val="none"/>
                      <w:u w:val="none"/>
                      <w14:textFill>
                        <w14:solidFill>
                          <w14:schemeClr w14:val="tx1"/>
                        </w14:solidFill>
                      </w14:textFill>
                    </w:rPr>
                    <w:t>项目对应情况介绍</w:t>
                  </w:r>
                </w:p>
              </w:tc>
              <w:tc>
                <w:tcPr>
                  <w:tcW w:w="473" w:type="pct"/>
                  <w:vMerge w:val="restart"/>
                  <w:noWrap w:val="0"/>
                  <w:tcMar>
                    <w:top w:w="0" w:type="dxa"/>
                    <w:left w:w="28" w:type="dxa"/>
                    <w:bottom w:w="0" w:type="dxa"/>
                    <w:right w:w="28" w:type="dxa"/>
                  </w:tcMar>
                  <w:vAlign w:val="center"/>
                </w:tcPr>
                <w:p w14:paraId="5CFE4D6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r>
                    <w:rPr>
                      <w:b/>
                      <w:bCs/>
                      <w:color w:val="000000" w:themeColor="text1"/>
                      <w:szCs w:val="21"/>
                      <w:highlight w:val="none"/>
                      <w:u w:val="none"/>
                      <w14:textFill>
                        <w14:solidFill>
                          <w14:schemeClr w14:val="tx1"/>
                        </w14:solidFill>
                      </w14:textFill>
                    </w:rPr>
                    <w:t>符合性分析</w:t>
                  </w:r>
                </w:p>
              </w:tc>
            </w:tr>
            <w:tr w14:paraId="5F2EF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023" w:type="pct"/>
                  <w:gridSpan w:val="4"/>
                  <w:noWrap w:val="0"/>
                  <w:tcMar>
                    <w:top w:w="0" w:type="dxa"/>
                    <w:left w:w="28" w:type="dxa"/>
                    <w:bottom w:w="0" w:type="dxa"/>
                    <w:right w:w="28" w:type="dxa"/>
                  </w:tcMar>
                  <w:vAlign w:val="center"/>
                </w:tcPr>
                <w:p w14:paraId="738646D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r>
                    <w:rPr>
                      <w:b/>
                      <w:bCs/>
                      <w:color w:val="000000" w:themeColor="text1"/>
                      <w:szCs w:val="21"/>
                      <w:highlight w:val="none"/>
                      <w:u w:val="none"/>
                      <w14:textFill>
                        <w14:solidFill>
                          <w14:schemeClr w14:val="tx1"/>
                        </w14:solidFill>
                      </w14:textFill>
                    </w:rPr>
                    <w:t>类别</w:t>
                  </w:r>
                </w:p>
              </w:tc>
              <w:tc>
                <w:tcPr>
                  <w:tcW w:w="1421" w:type="pct"/>
                  <w:noWrap w:val="0"/>
                  <w:tcMar>
                    <w:top w:w="0" w:type="dxa"/>
                    <w:left w:w="28" w:type="dxa"/>
                    <w:bottom w:w="0" w:type="dxa"/>
                    <w:right w:w="28" w:type="dxa"/>
                  </w:tcMar>
                  <w:vAlign w:val="center"/>
                </w:tcPr>
                <w:p w14:paraId="529BB48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r>
                    <w:rPr>
                      <w:b/>
                      <w:bCs/>
                      <w:color w:val="000000" w:themeColor="text1"/>
                      <w:szCs w:val="21"/>
                      <w:highlight w:val="none"/>
                      <w:u w:val="none"/>
                      <w14:textFill>
                        <w14:solidFill>
                          <w14:schemeClr w14:val="tx1"/>
                        </w14:solidFill>
                      </w14:textFill>
                    </w:rPr>
                    <w:t>对应管控要求</w:t>
                  </w:r>
                </w:p>
              </w:tc>
              <w:tc>
                <w:tcPr>
                  <w:tcW w:w="1081" w:type="pct"/>
                  <w:vMerge w:val="continue"/>
                  <w:noWrap w:val="0"/>
                  <w:tcMar>
                    <w:top w:w="0" w:type="dxa"/>
                    <w:left w:w="28" w:type="dxa"/>
                    <w:bottom w:w="0" w:type="dxa"/>
                    <w:right w:w="28" w:type="dxa"/>
                  </w:tcMar>
                  <w:vAlign w:val="center"/>
                </w:tcPr>
                <w:p w14:paraId="724FCEC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p>
              </w:tc>
              <w:tc>
                <w:tcPr>
                  <w:tcW w:w="473" w:type="pct"/>
                  <w:vMerge w:val="continue"/>
                  <w:noWrap w:val="0"/>
                  <w:tcMar>
                    <w:top w:w="0" w:type="dxa"/>
                    <w:left w:w="28" w:type="dxa"/>
                    <w:bottom w:w="0" w:type="dxa"/>
                    <w:right w:w="28" w:type="dxa"/>
                  </w:tcMar>
                  <w:vAlign w:val="center"/>
                </w:tcPr>
                <w:p w14:paraId="2C9F705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bCs/>
                      <w:color w:val="000000" w:themeColor="text1"/>
                      <w:szCs w:val="21"/>
                      <w:highlight w:val="none"/>
                      <w:u w:val="none"/>
                      <w14:textFill>
                        <w14:solidFill>
                          <w14:schemeClr w14:val="tx1"/>
                        </w14:solidFill>
                      </w14:textFill>
                    </w:rPr>
                  </w:pPr>
                </w:p>
              </w:tc>
            </w:tr>
            <w:tr w14:paraId="4820E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restart"/>
                  <w:noWrap w:val="0"/>
                  <w:tcMar>
                    <w:top w:w="0" w:type="dxa"/>
                    <w:left w:w="28" w:type="dxa"/>
                    <w:bottom w:w="0" w:type="dxa"/>
                    <w:right w:w="28" w:type="dxa"/>
                  </w:tcMar>
                  <w:vAlign w:val="center"/>
                </w:tcPr>
                <w:p w14:paraId="780D9DE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管控单元分类：</w:t>
                  </w:r>
                  <w:r>
                    <w:rPr>
                      <w:rFonts w:hint="eastAsia"/>
                      <w:color w:val="000000" w:themeColor="text1"/>
                      <w:szCs w:val="21"/>
                      <w:highlight w:val="none"/>
                      <w:u w:val="none"/>
                      <w14:textFill>
                        <w14:solidFill>
                          <w14:schemeClr w14:val="tx1"/>
                        </w14:solidFill>
                      </w14:textFill>
                    </w:rPr>
                    <w:t>环境综合管控单元</w:t>
                  </w:r>
                  <w:r>
                    <w:rPr>
                      <w:rFonts w:hint="eastAsia"/>
                      <w:color w:val="000000" w:themeColor="text1"/>
                      <w:szCs w:val="21"/>
                      <w:highlight w:val="none"/>
                      <w:u w:val="none"/>
                      <w:lang w:val="en-US" w:eastAsia="zh-CN"/>
                      <w14:textFill>
                        <w14:solidFill>
                          <w14:schemeClr w14:val="tx1"/>
                        </w14:solidFill>
                      </w14:textFill>
                    </w:rPr>
                    <w:t>-重点管控单元</w:t>
                  </w:r>
                </w:p>
                <w:p w14:paraId="016E9A9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管控单元编码：</w:t>
                  </w:r>
                  <w:r>
                    <w:rPr>
                      <w:rFonts w:hint="eastAsia"/>
                      <w:color w:val="000000" w:themeColor="text1"/>
                      <w:szCs w:val="21"/>
                      <w:highlight w:val="none"/>
                      <w:u w:val="none"/>
                      <w:lang w:val="en-US" w:eastAsia="zh-CN"/>
                      <w14:textFill>
                        <w14:solidFill>
                          <w14:schemeClr w14:val="tx1"/>
                        </w14:solidFill>
                      </w14:textFill>
                    </w:rPr>
                    <w:t>ZH51332820001</w:t>
                  </w:r>
                </w:p>
                <w:p w14:paraId="70533B9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管控单元名称：</w:t>
                  </w:r>
                  <w:r>
                    <w:rPr>
                      <w:rFonts w:hint="eastAsia"/>
                      <w:color w:val="000000" w:themeColor="text1"/>
                      <w:szCs w:val="21"/>
                      <w:highlight w:val="none"/>
                      <w:u w:val="none"/>
                      <w:lang w:val="en-US" w:eastAsia="zh-CN"/>
                      <w14:textFill>
                        <w14:solidFill>
                          <w14:schemeClr w14:val="tx1"/>
                        </w14:solidFill>
                      </w14:textFill>
                    </w:rPr>
                    <w:t>甘孜县城镇空间</w:t>
                  </w:r>
                </w:p>
              </w:tc>
              <w:tc>
                <w:tcPr>
                  <w:tcW w:w="254" w:type="pct"/>
                  <w:vMerge w:val="restart"/>
                  <w:noWrap w:val="0"/>
                  <w:tcMar>
                    <w:top w:w="0" w:type="dxa"/>
                    <w:left w:w="28" w:type="dxa"/>
                    <w:bottom w:w="0" w:type="dxa"/>
                    <w:right w:w="28" w:type="dxa"/>
                  </w:tcMar>
                  <w:vAlign w:val="center"/>
                </w:tcPr>
                <w:p w14:paraId="5987131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市州普适性清单</w:t>
                  </w:r>
                  <w:r>
                    <w:rPr>
                      <w:color w:val="000000" w:themeColor="text1"/>
                      <w:szCs w:val="21"/>
                      <w:highlight w:val="none"/>
                      <w:u w:val="none"/>
                      <w14:textFill>
                        <w14:solidFill>
                          <w14:schemeClr w14:val="tx1"/>
                        </w14:solidFill>
                      </w14:textFill>
                    </w:rPr>
                    <w:t>管控要求</w:t>
                  </w:r>
                </w:p>
              </w:tc>
              <w:tc>
                <w:tcPr>
                  <w:tcW w:w="248" w:type="pct"/>
                  <w:vMerge w:val="restart"/>
                  <w:noWrap w:val="0"/>
                  <w:tcMar>
                    <w:top w:w="0" w:type="dxa"/>
                    <w:left w:w="28" w:type="dxa"/>
                    <w:bottom w:w="0" w:type="dxa"/>
                    <w:right w:w="28" w:type="dxa"/>
                  </w:tcMar>
                  <w:vAlign w:val="center"/>
                </w:tcPr>
                <w:p w14:paraId="42AB36B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空间布局约束</w:t>
                  </w:r>
                </w:p>
              </w:tc>
              <w:tc>
                <w:tcPr>
                  <w:tcW w:w="578" w:type="pct"/>
                  <w:noWrap w:val="0"/>
                  <w:tcMar>
                    <w:top w:w="0" w:type="dxa"/>
                    <w:left w:w="28" w:type="dxa"/>
                    <w:bottom w:w="0" w:type="dxa"/>
                    <w:right w:w="28" w:type="dxa"/>
                  </w:tcMar>
                  <w:vAlign w:val="center"/>
                </w:tcPr>
                <w:p w14:paraId="011052E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禁止开发建设活动的要求</w:t>
                  </w:r>
                </w:p>
              </w:tc>
              <w:tc>
                <w:tcPr>
                  <w:tcW w:w="1421" w:type="pct"/>
                  <w:noWrap w:val="0"/>
                  <w:tcMar>
                    <w:top w:w="0" w:type="dxa"/>
                    <w:left w:w="28" w:type="dxa"/>
                    <w:bottom w:w="0" w:type="dxa"/>
                    <w:right w:w="28" w:type="dxa"/>
                  </w:tcMar>
                  <w:vAlign w:val="center"/>
                </w:tcPr>
                <w:p w14:paraId="7940BCF9">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（1）严禁在城市建成区以及近郊区域，新建、扩建石化、农药、电解铝、氯碱化工等高污染、高环境风险产业。</w:t>
                  </w:r>
                </w:p>
                <w:p w14:paraId="7272DA08">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（2）严格执行相关行业企业布局选址要求</w:t>
                  </w:r>
                  <w:r>
                    <w:rPr>
                      <w:rFonts w:hint="eastAsia"/>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u w:val="none"/>
                      <w14:textFill>
                        <w14:solidFill>
                          <w14:schemeClr w14:val="tx1"/>
                        </w14:solidFill>
                      </w14:textFill>
                    </w:rPr>
                    <w:t>禁止在居民区、学校、医疗和养老机构等周边新建有色金属冶炼等行业企业，有序搬迁或依法关闭对土壤造成严重污染的现有企业。</w:t>
                  </w:r>
                </w:p>
                <w:p w14:paraId="45F0CC87">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（3）禁止在长江流域河湖管理范围内倾倒、填埋、堆放、弃置、处理固体废物。</w:t>
                  </w:r>
                </w:p>
              </w:tc>
              <w:tc>
                <w:tcPr>
                  <w:tcW w:w="1081" w:type="pct"/>
                  <w:noWrap w:val="0"/>
                  <w:tcMar>
                    <w:top w:w="0" w:type="dxa"/>
                    <w:left w:w="28" w:type="dxa"/>
                    <w:bottom w:w="0" w:type="dxa"/>
                    <w:right w:w="28" w:type="dxa"/>
                  </w:tcMar>
                  <w:vAlign w:val="center"/>
                </w:tcPr>
                <w:p w14:paraId="1B10BB0D">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14:textFill>
                        <w14:solidFill>
                          <w14:schemeClr w14:val="tx1"/>
                        </w14:solidFill>
                      </w14:textFill>
                    </w:rPr>
                    <w:t>本项目为</w:t>
                  </w:r>
                  <w:r>
                    <w:rPr>
                      <w:rFonts w:hint="eastAsia"/>
                      <w:color w:val="000000" w:themeColor="text1"/>
                      <w:szCs w:val="21"/>
                      <w:highlight w:val="none"/>
                      <w:u w:val="none"/>
                      <w:lang w:val="en-US" w:eastAsia="zh-CN"/>
                      <w14:textFill>
                        <w14:solidFill>
                          <w14:schemeClr w14:val="tx1"/>
                        </w14:solidFill>
                      </w14:textFill>
                    </w:rPr>
                    <w:t>混凝土搅拌</w:t>
                  </w:r>
                  <w:r>
                    <w:rPr>
                      <w:rFonts w:hint="eastAsia"/>
                      <w:color w:val="000000" w:themeColor="text1"/>
                      <w:szCs w:val="21"/>
                      <w:highlight w:val="none"/>
                      <w:u w:val="none"/>
                      <w14:textFill>
                        <w14:solidFill>
                          <w14:schemeClr w14:val="tx1"/>
                        </w14:solidFill>
                      </w14:textFill>
                    </w:rPr>
                    <w:t>项目，不属于石化、农药、电解铝、氯碱化工等高污染、高环境风险产业</w:t>
                  </w:r>
                  <w:r>
                    <w:rPr>
                      <w:rFonts w:hint="eastAsia"/>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u w:val="none"/>
                      <w:lang w:val="en-US" w:eastAsia="zh-CN"/>
                      <w14:textFill>
                        <w14:solidFill>
                          <w14:schemeClr w14:val="tx1"/>
                        </w14:solidFill>
                      </w14:textFill>
                    </w:rPr>
                    <w:t>不属于</w:t>
                  </w:r>
                  <w:r>
                    <w:rPr>
                      <w:rFonts w:hint="eastAsia"/>
                      <w:color w:val="000000" w:themeColor="text1"/>
                      <w:szCs w:val="21"/>
                      <w:highlight w:val="none"/>
                      <w:u w:val="none"/>
                      <w:lang w:eastAsia="zh-CN"/>
                      <w14:textFill>
                        <w14:solidFill>
                          <w14:schemeClr w14:val="tx1"/>
                        </w14:solidFill>
                      </w14:textFill>
                    </w:rPr>
                    <w:t>有色金属冶炼等行业企业；</w:t>
                  </w:r>
                  <w:r>
                    <w:rPr>
                      <w:rFonts w:hint="eastAsia"/>
                      <w:color w:val="000000" w:themeColor="text1"/>
                      <w:szCs w:val="21"/>
                      <w:highlight w:val="none"/>
                      <w:u w:val="none"/>
                      <w:lang w:val="en-US" w:eastAsia="zh-CN"/>
                      <w14:textFill>
                        <w14:solidFill>
                          <w14:schemeClr w14:val="tx1"/>
                        </w14:solidFill>
                      </w14:textFill>
                    </w:rPr>
                    <w:t>本项目原料为砂石，粉煤灰和水泥等，不会对土壤造成严重污染。</w:t>
                  </w:r>
                </w:p>
                <w:p w14:paraId="64677733">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不涉及在长江流域河湖管理范围内</w:t>
                  </w:r>
                  <w:r>
                    <w:rPr>
                      <w:rFonts w:hint="eastAsia"/>
                      <w:color w:val="000000" w:themeColor="text1"/>
                      <w:szCs w:val="21"/>
                      <w:highlight w:val="none"/>
                      <w:u w:val="none"/>
                      <w:lang w:eastAsia="zh-CN"/>
                      <w14:textFill>
                        <w14:solidFill>
                          <w14:schemeClr w14:val="tx1"/>
                        </w14:solidFill>
                      </w14:textFill>
                    </w:rPr>
                    <w:t>倾倒</w:t>
                  </w:r>
                  <w:r>
                    <w:rPr>
                      <w:rFonts w:hint="eastAsia"/>
                      <w:color w:val="000000" w:themeColor="text1"/>
                      <w:szCs w:val="21"/>
                      <w:highlight w:val="none"/>
                      <w:u w:val="none"/>
                      <w14:textFill>
                        <w14:solidFill>
                          <w14:schemeClr w14:val="tx1"/>
                        </w14:solidFill>
                      </w14:textFill>
                    </w:rPr>
                    <w:t>、填埋、堆放、弃置、处理固体废物。</w:t>
                  </w:r>
                </w:p>
              </w:tc>
              <w:tc>
                <w:tcPr>
                  <w:tcW w:w="473" w:type="pct"/>
                  <w:noWrap w:val="0"/>
                  <w:tcMar>
                    <w:top w:w="0" w:type="dxa"/>
                    <w:left w:w="28" w:type="dxa"/>
                    <w:bottom w:w="0" w:type="dxa"/>
                    <w:right w:w="28" w:type="dxa"/>
                  </w:tcMar>
                  <w:vAlign w:val="center"/>
                </w:tcPr>
                <w:p w14:paraId="7EC42C8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符合</w:t>
                  </w:r>
                </w:p>
              </w:tc>
            </w:tr>
            <w:tr w14:paraId="1C5B5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7220806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0DEFAE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2AE8B8C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32DCB43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限制开发建设活动的要求</w:t>
                  </w:r>
                </w:p>
              </w:tc>
              <w:tc>
                <w:tcPr>
                  <w:tcW w:w="1421" w:type="pct"/>
                  <w:noWrap w:val="0"/>
                  <w:tcMar>
                    <w:top w:w="0" w:type="dxa"/>
                    <w:left w:w="28" w:type="dxa"/>
                    <w:bottom w:w="0" w:type="dxa"/>
                    <w:right w:w="28" w:type="dxa"/>
                  </w:tcMar>
                  <w:vAlign w:val="center"/>
                </w:tcPr>
                <w:p w14:paraId="44EBB36E">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（1）对不符合国土空间规划的现有工业企业，污染物排放总量及环境风险水平只降不增，引导企业适时搬迁进入对口园区。</w:t>
                  </w:r>
                </w:p>
                <w:p w14:paraId="676255E2">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（2）严控新设工业园区，如确需新布局工业园区，应充分论证选址的环境合理性。</w:t>
                  </w:r>
                </w:p>
              </w:tc>
              <w:tc>
                <w:tcPr>
                  <w:tcW w:w="1081" w:type="pct"/>
                  <w:noWrap w:val="0"/>
                  <w:tcMar>
                    <w:top w:w="0" w:type="dxa"/>
                    <w:left w:w="28" w:type="dxa"/>
                    <w:bottom w:w="0" w:type="dxa"/>
                    <w:right w:w="28" w:type="dxa"/>
                  </w:tcMar>
                  <w:vAlign w:val="center"/>
                </w:tcPr>
                <w:p w14:paraId="2B4FC98F">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14:textFill>
                        <w14:solidFill>
                          <w14:schemeClr w14:val="tx1"/>
                        </w14:solidFill>
                      </w14:textFill>
                    </w:rPr>
                    <w:t>本项目为</w:t>
                  </w:r>
                  <w:r>
                    <w:rPr>
                      <w:rFonts w:hint="eastAsia"/>
                      <w:color w:val="000000" w:themeColor="text1"/>
                      <w:szCs w:val="21"/>
                      <w:highlight w:val="none"/>
                      <w:u w:val="none"/>
                      <w:lang w:val="en-US" w:eastAsia="zh-CN"/>
                      <w14:textFill>
                        <w14:solidFill>
                          <w14:schemeClr w14:val="tx1"/>
                        </w14:solidFill>
                      </w14:textFill>
                    </w:rPr>
                    <w:t>新建企业，不涉及新设工业园区</w:t>
                  </w:r>
                </w:p>
              </w:tc>
              <w:tc>
                <w:tcPr>
                  <w:tcW w:w="473" w:type="pct"/>
                  <w:noWrap w:val="0"/>
                  <w:tcMar>
                    <w:top w:w="0" w:type="dxa"/>
                    <w:left w:w="28" w:type="dxa"/>
                    <w:bottom w:w="0" w:type="dxa"/>
                    <w:right w:w="28" w:type="dxa"/>
                  </w:tcMar>
                  <w:vAlign w:val="center"/>
                </w:tcPr>
                <w:p w14:paraId="52431C6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符合</w:t>
                  </w:r>
                </w:p>
              </w:tc>
            </w:tr>
            <w:tr w14:paraId="66271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5D8C587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746EFDB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0BA6E38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18542F2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不符合空间布局要求活动的退出要求</w:t>
                  </w:r>
                </w:p>
              </w:tc>
              <w:tc>
                <w:tcPr>
                  <w:tcW w:w="1421" w:type="pct"/>
                  <w:noWrap w:val="0"/>
                  <w:tcMar>
                    <w:top w:w="0" w:type="dxa"/>
                    <w:left w:w="28" w:type="dxa"/>
                    <w:bottom w:w="0" w:type="dxa"/>
                    <w:right w:w="28" w:type="dxa"/>
                  </w:tcMar>
                  <w:vAlign w:val="center"/>
                </w:tcPr>
                <w:p w14:paraId="5420E854">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 w:val="21"/>
                      <w:szCs w:val="21"/>
                      <w:highlight w:val="none"/>
                      <w:u w:val="none"/>
                      <w:lang w:val="en-US" w:eastAsia="zh-CN" w:bidi="ar-SA"/>
                      <w14:textFill>
                        <w14:solidFill>
                          <w14:schemeClr w14:val="tx1"/>
                        </w14:solidFill>
                      </w14:textFill>
                    </w:rPr>
                    <w:t>（1）加快推进城市建成区涉重金属企业搬迁或关闭。</w:t>
                  </w:r>
                </w:p>
                <w:p w14:paraId="5258390F">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 w:val="21"/>
                      <w:szCs w:val="21"/>
                      <w:highlight w:val="none"/>
                      <w:u w:val="none"/>
                      <w:lang w:val="en-US" w:eastAsia="zh-CN" w:bidi="ar-SA"/>
                      <w14:textFill>
                        <w14:solidFill>
                          <w14:schemeClr w14:val="tx1"/>
                        </w14:solidFill>
                      </w14:textFill>
                    </w:rPr>
                    <w:t>（2）按照相关规划和要求，清理整顿非法采砂、非法码头，全面清除不合规码头。</w:t>
                  </w:r>
                </w:p>
              </w:tc>
              <w:tc>
                <w:tcPr>
                  <w:tcW w:w="1081" w:type="pct"/>
                  <w:noWrap w:val="0"/>
                  <w:tcMar>
                    <w:top w:w="0" w:type="dxa"/>
                    <w:left w:w="28" w:type="dxa"/>
                    <w:bottom w:w="0" w:type="dxa"/>
                    <w:right w:w="28" w:type="dxa"/>
                  </w:tcMar>
                  <w:vAlign w:val="center"/>
                </w:tcPr>
                <w:p w14:paraId="2B702E3A">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t>本项目为混凝土搅拌项目，</w:t>
                  </w:r>
                  <w:r>
                    <w:rPr>
                      <w:rFonts w:hint="eastAsia" w:ascii="Times New Roman" w:cs="Times New Roman"/>
                      <w:color w:val="000000" w:themeColor="text1"/>
                      <w:szCs w:val="21"/>
                      <w:highlight w:val="none"/>
                      <w:u w:val="none"/>
                      <w:lang w:val="en-US" w:eastAsia="zh-CN"/>
                      <w14:textFill>
                        <w14:solidFill>
                          <w14:schemeClr w14:val="tx1"/>
                        </w14:solidFill>
                      </w14:textFill>
                    </w:rPr>
                    <w:t>不涉及重金属，砂石外购，不涉及非法采砂</w:t>
                  </w:r>
                </w:p>
              </w:tc>
              <w:tc>
                <w:tcPr>
                  <w:tcW w:w="473" w:type="pct"/>
                  <w:noWrap w:val="0"/>
                  <w:tcMar>
                    <w:top w:w="0" w:type="dxa"/>
                    <w:left w:w="28" w:type="dxa"/>
                    <w:bottom w:w="0" w:type="dxa"/>
                    <w:right w:w="28" w:type="dxa"/>
                  </w:tcMar>
                  <w:vAlign w:val="center"/>
                </w:tcPr>
                <w:p w14:paraId="2F3A5F0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default"/>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 w:val="21"/>
                      <w:szCs w:val="21"/>
                      <w:highlight w:val="none"/>
                      <w:u w:val="none"/>
                      <w:lang w:val="en-US" w:eastAsia="zh-CN" w:bidi="ar-SA"/>
                      <w14:textFill>
                        <w14:solidFill>
                          <w14:schemeClr w14:val="tx1"/>
                        </w14:solidFill>
                      </w14:textFill>
                    </w:rPr>
                    <w:t>符合</w:t>
                  </w:r>
                </w:p>
              </w:tc>
            </w:tr>
            <w:tr w14:paraId="6C15C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0EF2459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2634D6E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6342B43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58E3E09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其他空间布局约束要求</w:t>
                  </w:r>
                </w:p>
              </w:tc>
              <w:tc>
                <w:tcPr>
                  <w:tcW w:w="1421" w:type="pct"/>
                  <w:noWrap w:val="0"/>
                  <w:tcMar>
                    <w:top w:w="0" w:type="dxa"/>
                    <w:left w:w="28" w:type="dxa"/>
                    <w:bottom w:w="0" w:type="dxa"/>
                    <w:right w:w="28" w:type="dxa"/>
                  </w:tcMar>
                  <w:vAlign w:val="center"/>
                </w:tcPr>
                <w:p w14:paraId="78296103">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kern w:val="0"/>
                      <w:sz w:val="21"/>
                      <w:szCs w:val="21"/>
                      <w:highlight w:val="none"/>
                      <w:u w:val="none"/>
                      <w:lang w:val="en-US" w:eastAsia="zh-CN" w:bidi="ar-SA"/>
                      <w14:textFill>
                        <w14:solidFill>
                          <w14:schemeClr w14:val="tx1"/>
                        </w14:solidFill>
                      </w14:textFill>
                    </w:rPr>
                    <w:t>加快现有高污染或高风险产品生产企业“退城入园”进度，逐步退出环境敏感区。</w:t>
                  </w:r>
                </w:p>
              </w:tc>
              <w:tc>
                <w:tcPr>
                  <w:tcW w:w="1081" w:type="pct"/>
                  <w:noWrap w:val="0"/>
                  <w:tcMar>
                    <w:top w:w="0" w:type="dxa"/>
                    <w:left w:w="28" w:type="dxa"/>
                    <w:bottom w:w="0" w:type="dxa"/>
                    <w:right w:w="28" w:type="dxa"/>
                  </w:tcMar>
                  <w:vAlign w:val="center"/>
                </w:tcPr>
                <w:p w14:paraId="5E90EAF4">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pPr>
                </w:p>
              </w:tc>
              <w:tc>
                <w:tcPr>
                  <w:tcW w:w="473" w:type="pct"/>
                  <w:noWrap w:val="0"/>
                  <w:tcMar>
                    <w:top w:w="0" w:type="dxa"/>
                    <w:left w:w="28" w:type="dxa"/>
                    <w:bottom w:w="0" w:type="dxa"/>
                    <w:right w:w="28" w:type="dxa"/>
                  </w:tcMar>
                  <w:vAlign w:val="center"/>
                </w:tcPr>
                <w:p w14:paraId="0FB0379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kern w:val="0"/>
                      <w:sz w:val="21"/>
                      <w:szCs w:val="21"/>
                      <w:highlight w:val="none"/>
                      <w:u w:val="none"/>
                      <w:lang w:val="en-US" w:eastAsia="zh-CN" w:bidi="ar-SA"/>
                      <w14:textFill>
                        <w14:solidFill>
                          <w14:schemeClr w14:val="tx1"/>
                        </w14:solidFill>
                      </w14:textFill>
                    </w:rPr>
                  </w:pPr>
                </w:p>
              </w:tc>
            </w:tr>
            <w:tr w14:paraId="27150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032CBFA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A0E81A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40A4E7A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442B79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允许开发建设活动的要求</w:t>
                  </w:r>
                </w:p>
              </w:tc>
              <w:tc>
                <w:tcPr>
                  <w:tcW w:w="1421" w:type="pct"/>
                  <w:noWrap w:val="0"/>
                  <w:tcMar>
                    <w:top w:w="0" w:type="dxa"/>
                    <w:left w:w="28" w:type="dxa"/>
                    <w:bottom w:w="0" w:type="dxa"/>
                    <w:right w:w="28" w:type="dxa"/>
                  </w:tcMar>
                  <w:vAlign w:val="center"/>
                </w:tcPr>
                <w:p w14:paraId="77DCE35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暂无</w:t>
                  </w:r>
                </w:p>
              </w:tc>
              <w:tc>
                <w:tcPr>
                  <w:tcW w:w="1081" w:type="pct"/>
                  <w:noWrap w:val="0"/>
                  <w:tcMar>
                    <w:top w:w="0" w:type="dxa"/>
                    <w:left w:w="28" w:type="dxa"/>
                    <w:bottom w:w="0" w:type="dxa"/>
                    <w:right w:w="28" w:type="dxa"/>
                  </w:tcMar>
                  <w:vAlign w:val="center"/>
                </w:tcPr>
                <w:p w14:paraId="7261C4A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w:t>
                  </w:r>
                </w:p>
              </w:tc>
              <w:tc>
                <w:tcPr>
                  <w:tcW w:w="473" w:type="pct"/>
                  <w:noWrap w:val="0"/>
                  <w:tcMar>
                    <w:top w:w="0" w:type="dxa"/>
                    <w:left w:w="28" w:type="dxa"/>
                    <w:bottom w:w="0" w:type="dxa"/>
                    <w:right w:w="28" w:type="dxa"/>
                  </w:tcMar>
                  <w:vAlign w:val="center"/>
                </w:tcPr>
                <w:p w14:paraId="1C83998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w:t>
                  </w:r>
                </w:p>
              </w:tc>
            </w:tr>
            <w:tr w14:paraId="55D95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37CF50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292612A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restart"/>
                  <w:noWrap w:val="0"/>
                  <w:tcMar>
                    <w:top w:w="0" w:type="dxa"/>
                    <w:left w:w="28" w:type="dxa"/>
                    <w:bottom w:w="0" w:type="dxa"/>
                    <w:right w:w="28" w:type="dxa"/>
                  </w:tcMar>
                  <w:vAlign w:val="center"/>
                </w:tcPr>
                <w:p w14:paraId="4BA5103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污染物排放管控</w:t>
                  </w:r>
                </w:p>
              </w:tc>
              <w:tc>
                <w:tcPr>
                  <w:tcW w:w="578" w:type="pct"/>
                  <w:noWrap w:val="0"/>
                  <w:tcMar>
                    <w:top w:w="0" w:type="dxa"/>
                    <w:left w:w="28" w:type="dxa"/>
                    <w:bottom w:w="0" w:type="dxa"/>
                    <w:right w:w="28" w:type="dxa"/>
                  </w:tcMar>
                  <w:vAlign w:val="center"/>
                </w:tcPr>
                <w:p w14:paraId="707AFF0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新增源等量或倍量替代</w:t>
                  </w:r>
                </w:p>
              </w:tc>
              <w:tc>
                <w:tcPr>
                  <w:tcW w:w="1421" w:type="pct"/>
                  <w:noWrap w:val="0"/>
                  <w:tcMar>
                    <w:top w:w="0" w:type="dxa"/>
                    <w:left w:w="28" w:type="dxa"/>
                    <w:bottom w:w="0" w:type="dxa"/>
                    <w:right w:w="28" w:type="dxa"/>
                  </w:tcMar>
                  <w:vAlign w:val="center"/>
                </w:tcPr>
                <w:p w14:paraId="0ED4FBF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暂无</w:t>
                  </w:r>
                </w:p>
              </w:tc>
              <w:tc>
                <w:tcPr>
                  <w:tcW w:w="1081" w:type="pct"/>
                  <w:noWrap w:val="0"/>
                  <w:tcMar>
                    <w:top w:w="0" w:type="dxa"/>
                    <w:left w:w="28" w:type="dxa"/>
                    <w:bottom w:w="0" w:type="dxa"/>
                    <w:right w:w="28" w:type="dxa"/>
                  </w:tcMar>
                  <w:vAlign w:val="center"/>
                </w:tcPr>
                <w:p w14:paraId="469CFCE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w:t>
                  </w:r>
                </w:p>
              </w:tc>
              <w:tc>
                <w:tcPr>
                  <w:tcW w:w="473" w:type="pct"/>
                  <w:noWrap w:val="0"/>
                  <w:tcMar>
                    <w:top w:w="0" w:type="dxa"/>
                    <w:left w:w="28" w:type="dxa"/>
                    <w:bottom w:w="0" w:type="dxa"/>
                    <w:right w:w="28" w:type="dxa"/>
                  </w:tcMar>
                  <w:vAlign w:val="center"/>
                </w:tcPr>
                <w:p w14:paraId="2E7F00D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w:t>
                  </w:r>
                </w:p>
              </w:tc>
            </w:tr>
            <w:tr w14:paraId="1448B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2B0DE8D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74EB318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0D04ADE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3C23000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现有源提标升级改造</w:t>
                  </w:r>
                </w:p>
              </w:tc>
              <w:tc>
                <w:tcPr>
                  <w:tcW w:w="1421" w:type="pct"/>
                  <w:noWrap w:val="0"/>
                  <w:tcMar>
                    <w:top w:w="0" w:type="dxa"/>
                    <w:left w:w="28" w:type="dxa"/>
                    <w:bottom w:w="0" w:type="dxa"/>
                    <w:right w:w="28" w:type="dxa"/>
                  </w:tcMar>
                  <w:vAlign w:val="center"/>
                </w:tcPr>
                <w:p w14:paraId="675FD329">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（1）严格执行高寒地区污水处理厂建设运行管理标准。</w:t>
                  </w:r>
                </w:p>
                <w:p w14:paraId="628F5486">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（2）到2023年底，18个县城设施能力基本满足生活污水处理需求，基本建立城乡生活垃圾分类投放、收集、转运、处理系统，县城生活垃圾无害化处理率达98%。</w:t>
                  </w:r>
                </w:p>
                <w:p w14:paraId="157E77B3">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（3）落实国家重点生态功能区转移支付资金中的生态环境保护治理资金按不低于50%的比例安排用于城镇污水和城乡垃圾处理设施建设、运营和维护。</w:t>
                  </w:r>
                </w:p>
                <w:p w14:paraId="3F02A71A">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（4）2021年底，农牧区乡镇垃圾处理率达75%，行政村生活垃圾收转运体系覆盖率达90%；农牧区垃圾分类推广率2022年底达70%以上，2025年底达90%以上。</w:t>
                  </w:r>
                </w:p>
                <w:p w14:paraId="1CBA4867">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（5）全面落实各类施工工地扬尘防控措施</w:t>
                  </w:r>
                  <w:r>
                    <w:rPr>
                      <w:rFonts w:hint="eastAsia"/>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u w:val="none"/>
                      <w14:textFill>
                        <w14:solidFill>
                          <w14:schemeClr w14:val="tx1"/>
                        </w14:solidFill>
                      </w14:textFill>
                    </w:rPr>
                    <w:t>重点、重大项目工地实现视频监控、可吸入颗粒物（PM10）在线监测全覆盖。</w:t>
                  </w:r>
                </w:p>
                <w:p w14:paraId="2E30AA46">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（6）有序开展城市生活源VOCs污染防治；全面推广房屋建筑和市政工程涉VOCs工序环节使用低VOCs含量涂料和胶粘剂；推进加油站按照《四川省加油站大气污染排放标准》要求安装油气处理装置。</w:t>
                  </w:r>
                </w:p>
                <w:p w14:paraId="7DF35348">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7）加大新能源汽车在城市公交、出租汽车、城市配送、邮政快递、机场、铁路货场、重点地区港口等领域应用，地级以上城市清洁能源汽车在公共领域使用率显著提升，设区的市城市公交车基本实现新能源化。</w:t>
                  </w:r>
                </w:p>
              </w:tc>
              <w:tc>
                <w:tcPr>
                  <w:tcW w:w="1081" w:type="pct"/>
                  <w:noWrap w:val="0"/>
                  <w:tcMar>
                    <w:top w:w="0" w:type="dxa"/>
                    <w:left w:w="28" w:type="dxa"/>
                    <w:bottom w:w="0" w:type="dxa"/>
                    <w:right w:w="28" w:type="dxa"/>
                  </w:tcMar>
                  <w:vAlign w:val="center"/>
                </w:tcPr>
                <w:p w14:paraId="3F10770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环评要求，项目施工期严格落实各类施工工地扬尘防控措施。其余内容本项目不涉及。</w:t>
                  </w:r>
                </w:p>
              </w:tc>
              <w:tc>
                <w:tcPr>
                  <w:tcW w:w="473" w:type="pct"/>
                  <w:noWrap w:val="0"/>
                  <w:tcMar>
                    <w:top w:w="0" w:type="dxa"/>
                    <w:left w:w="28" w:type="dxa"/>
                    <w:bottom w:w="0" w:type="dxa"/>
                    <w:right w:w="28" w:type="dxa"/>
                  </w:tcMar>
                  <w:vAlign w:val="center"/>
                </w:tcPr>
                <w:p w14:paraId="407C375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符合</w:t>
                  </w:r>
                </w:p>
              </w:tc>
            </w:tr>
            <w:tr w14:paraId="236A1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C76C9A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4F29A75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5E3774A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3743006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新增源排放标准限值</w:t>
                  </w:r>
                </w:p>
              </w:tc>
              <w:tc>
                <w:tcPr>
                  <w:tcW w:w="1421" w:type="pct"/>
                  <w:noWrap w:val="0"/>
                  <w:tcMar>
                    <w:top w:w="0" w:type="dxa"/>
                    <w:left w:w="28" w:type="dxa"/>
                    <w:bottom w:w="0" w:type="dxa"/>
                    <w:right w:w="28" w:type="dxa"/>
                  </w:tcMar>
                  <w:vAlign w:val="center"/>
                </w:tcPr>
                <w:p w14:paraId="32BD691C">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1F076F5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eastAsia="宋体"/>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40EC67E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76C79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1AE6628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7B48B65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44B869B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6ECBA13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污染物排放绩效水平准入要求</w:t>
                  </w:r>
                </w:p>
              </w:tc>
              <w:tc>
                <w:tcPr>
                  <w:tcW w:w="1421" w:type="pct"/>
                  <w:noWrap w:val="0"/>
                  <w:tcMar>
                    <w:top w:w="0" w:type="dxa"/>
                    <w:left w:w="28" w:type="dxa"/>
                    <w:bottom w:w="0" w:type="dxa"/>
                    <w:right w:w="28" w:type="dxa"/>
                  </w:tcMar>
                  <w:vAlign w:val="center"/>
                </w:tcPr>
                <w:p w14:paraId="64946C3B">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14511B3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eastAsia="宋体"/>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303EBDB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06822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7CDE7DD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32AFEF4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2519897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56B98B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其他污染物排放管控要求</w:t>
                  </w:r>
                </w:p>
              </w:tc>
              <w:tc>
                <w:tcPr>
                  <w:tcW w:w="1421" w:type="pct"/>
                  <w:noWrap w:val="0"/>
                  <w:tcMar>
                    <w:top w:w="0" w:type="dxa"/>
                    <w:left w:w="28" w:type="dxa"/>
                    <w:bottom w:w="0" w:type="dxa"/>
                    <w:right w:w="28" w:type="dxa"/>
                  </w:tcMar>
                  <w:vAlign w:val="center"/>
                </w:tcPr>
                <w:p w14:paraId="07C9D432">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（1）污水处理设施投入运行后一年内，实际处理负荷不低于设计能力的60%，三年内不低于设计能力的75%。</w:t>
                  </w:r>
                </w:p>
                <w:p w14:paraId="38D52336">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（2）严格落实建设工地管理要求，做好扬尘污染管控工作。</w:t>
                  </w:r>
                </w:p>
                <w:p w14:paraId="3B2997D4">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（3）从事机动车修理、印刷、服装干洗等排放挥发性有机污染物的生产作业，应当按照有关技术规范进行综合治理。禁止露天和敞开式喷漆作业；餐饮服务业油烟必须经处理达到相应排放标准要求。</w:t>
                  </w:r>
                </w:p>
                <w:p w14:paraId="689E9B32">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（4）新建噪声敏感建筑物时，建设单位应全面执行绿色建筑标准，合理确定建筑物与交通干线等的防噪声距离，落实隔声减噪措施。</w:t>
                  </w:r>
                </w:p>
                <w:p w14:paraId="180A6BC6">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（5）已竣工交付使用的住宅楼、商铺、办公楼等建筑物不得在午、夜间进行产噪装修作业</w:t>
                  </w:r>
                  <w:r>
                    <w:rPr>
                      <w:rFonts w:hint="eastAsia"/>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u w:val="none"/>
                      <w14:textFill>
                        <w14:solidFill>
                          <w14:schemeClr w14:val="tx1"/>
                        </w14:solidFill>
                      </w14:textFill>
                    </w:rPr>
                    <w:t>在其他时间进行装修作业的，应当采取噪声防治措施。</w:t>
                  </w:r>
                </w:p>
              </w:tc>
              <w:tc>
                <w:tcPr>
                  <w:tcW w:w="1081" w:type="pct"/>
                  <w:noWrap w:val="0"/>
                  <w:tcMar>
                    <w:top w:w="0" w:type="dxa"/>
                    <w:left w:w="28" w:type="dxa"/>
                    <w:bottom w:w="0" w:type="dxa"/>
                    <w:right w:w="28" w:type="dxa"/>
                  </w:tcMar>
                  <w:vAlign w:val="center"/>
                </w:tcPr>
                <w:p w14:paraId="114BDA8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14:textFill>
                        <w14:solidFill>
                          <w14:schemeClr w14:val="tx1"/>
                        </w14:solidFill>
                      </w14:textFill>
                    </w:rPr>
                    <w:t>环评要求，项目施工期严格落实各类施工工地扬尘防控措施</w:t>
                  </w:r>
                  <w:r>
                    <w:rPr>
                      <w:rFonts w:hint="eastAsia"/>
                      <w:color w:val="000000" w:themeColor="text1"/>
                      <w:szCs w:val="21"/>
                      <w:highlight w:val="none"/>
                      <w:u w:val="none"/>
                      <w:lang w:eastAsia="zh-CN"/>
                      <w14:textFill>
                        <w14:solidFill>
                          <w14:schemeClr w14:val="tx1"/>
                        </w14:solidFill>
                      </w14:textFill>
                    </w:rPr>
                    <w:t>；</w:t>
                  </w:r>
                </w:p>
                <w:p w14:paraId="2026045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14:textFill>
                        <w14:solidFill>
                          <w14:schemeClr w14:val="tx1"/>
                        </w14:solidFill>
                      </w14:textFill>
                    </w:rPr>
                    <w:t>施工期采取隔声、低噪声设备等噪声防治措施，不在午、夜进行产噪装修作业。</w:t>
                  </w:r>
                </w:p>
              </w:tc>
              <w:tc>
                <w:tcPr>
                  <w:tcW w:w="473" w:type="pct"/>
                  <w:noWrap w:val="0"/>
                  <w:tcMar>
                    <w:top w:w="0" w:type="dxa"/>
                    <w:left w:w="28" w:type="dxa"/>
                    <w:bottom w:w="0" w:type="dxa"/>
                    <w:right w:w="28" w:type="dxa"/>
                  </w:tcMar>
                  <w:vAlign w:val="center"/>
                </w:tcPr>
                <w:p w14:paraId="4DF9254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符合</w:t>
                  </w:r>
                </w:p>
              </w:tc>
            </w:tr>
            <w:tr w14:paraId="52669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035D459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369E71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restart"/>
                  <w:noWrap w:val="0"/>
                  <w:tcMar>
                    <w:top w:w="0" w:type="dxa"/>
                    <w:left w:w="28" w:type="dxa"/>
                    <w:bottom w:w="0" w:type="dxa"/>
                    <w:right w:w="28" w:type="dxa"/>
                  </w:tcMar>
                  <w:vAlign w:val="center"/>
                </w:tcPr>
                <w:p w14:paraId="1C4E010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ascii="宋体" w:hAnsi="宋体" w:cs="宋体"/>
                      <w:color w:val="000000" w:themeColor="text1"/>
                      <w:szCs w:val="21"/>
                      <w:highlight w:val="none"/>
                      <w:u w:val="none"/>
                      <w14:textFill>
                        <w14:solidFill>
                          <w14:schemeClr w14:val="tx1"/>
                        </w14:solidFill>
                      </w14:textFill>
                    </w:rPr>
                    <w:t>环境风险防控</w:t>
                  </w:r>
                </w:p>
              </w:tc>
              <w:tc>
                <w:tcPr>
                  <w:tcW w:w="578" w:type="pct"/>
                  <w:noWrap w:val="0"/>
                  <w:tcMar>
                    <w:top w:w="0" w:type="dxa"/>
                    <w:left w:w="28" w:type="dxa"/>
                    <w:bottom w:w="0" w:type="dxa"/>
                    <w:right w:w="28" w:type="dxa"/>
                  </w:tcMar>
                  <w:vAlign w:val="center"/>
                </w:tcPr>
                <w:p w14:paraId="7ED3C48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严格管控类农用地管控要求</w:t>
                  </w:r>
                </w:p>
              </w:tc>
              <w:tc>
                <w:tcPr>
                  <w:tcW w:w="1421" w:type="pct"/>
                  <w:noWrap w:val="0"/>
                  <w:tcMar>
                    <w:top w:w="0" w:type="dxa"/>
                    <w:left w:w="28" w:type="dxa"/>
                    <w:bottom w:w="0" w:type="dxa"/>
                    <w:right w:w="28" w:type="dxa"/>
                  </w:tcMar>
                  <w:vAlign w:val="center"/>
                </w:tcPr>
                <w:p w14:paraId="1221A8B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2AB521B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0DEA75B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0C841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13EE62E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5328EC2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2FE7CD2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F390C9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安全利用类农用地管控要求</w:t>
                  </w:r>
                </w:p>
              </w:tc>
              <w:tc>
                <w:tcPr>
                  <w:tcW w:w="1421" w:type="pct"/>
                  <w:noWrap w:val="0"/>
                  <w:tcMar>
                    <w:top w:w="0" w:type="dxa"/>
                    <w:left w:w="28" w:type="dxa"/>
                    <w:bottom w:w="0" w:type="dxa"/>
                    <w:right w:w="28" w:type="dxa"/>
                  </w:tcMar>
                  <w:vAlign w:val="center"/>
                </w:tcPr>
                <w:p w14:paraId="2280C5D3">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206F3B0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784946C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0BEB2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799155C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50C0A5C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2BAEAD7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5579B0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污染地块管控要求</w:t>
                  </w:r>
                </w:p>
              </w:tc>
              <w:tc>
                <w:tcPr>
                  <w:tcW w:w="1421" w:type="pct"/>
                  <w:noWrap w:val="0"/>
                  <w:tcMar>
                    <w:top w:w="0" w:type="dxa"/>
                    <w:left w:w="28" w:type="dxa"/>
                    <w:bottom w:w="0" w:type="dxa"/>
                    <w:right w:w="28" w:type="dxa"/>
                  </w:tcMar>
                  <w:vAlign w:val="center"/>
                </w:tcPr>
                <w:p w14:paraId="76F3442D">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3B04D73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164656E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4C049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391510E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0875F18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65F946B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6282657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园区环境风险防控要求</w:t>
                  </w:r>
                </w:p>
              </w:tc>
              <w:tc>
                <w:tcPr>
                  <w:tcW w:w="1421" w:type="pct"/>
                  <w:noWrap w:val="0"/>
                  <w:tcMar>
                    <w:top w:w="0" w:type="dxa"/>
                    <w:left w:w="28" w:type="dxa"/>
                    <w:bottom w:w="0" w:type="dxa"/>
                    <w:right w:w="28" w:type="dxa"/>
                  </w:tcMar>
                  <w:vAlign w:val="center"/>
                </w:tcPr>
                <w:p w14:paraId="16A15899">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0202E6F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44E7C51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0F9FF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C8214E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4D5F8E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4DF509C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32EAA8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企业环境风险防控要求</w:t>
                  </w:r>
                </w:p>
              </w:tc>
              <w:tc>
                <w:tcPr>
                  <w:tcW w:w="1421" w:type="pct"/>
                  <w:noWrap w:val="0"/>
                  <w:tcMar>
                    <w:top w:w="0" w:type="dxa"/>
                    <w:left w:w="28" w:type="dxa"/>
                    <w:bottom w:w="0" w:type="dxa"/>
                    <w:right w:w="28" w:type="dxa"/>
                  </w:tcMar>
                  <w:vAlign w:val="center"/>
                </w:tcPr>
                <w:p w14:paraId="0BF59E75">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暂无</w:t>
                  </w:r>
                </w:p>
              </w:tc>
              <w:tc>
                <w:tcPr>
                  <w:tcW w:w="1081" w:type="pct"/>
                  <w:noWrap w:val="0"/>
                  <w:tcMar>
                    <w:top w:w="0" w:type="dxa"/>
                    <w:left w:w="28" w:type="dxa"/>
                    <w:bottom w:w="0" w:type="dxa"/>
                    <w:right w:w="28" w:type="dxa"/>
                  </w:tcMar>
                  <w:vAlign w:val="center"/>
                </w:tcPr>
                <w:p w14:paraId="79120E2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2108A39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5C766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324B590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60A2B98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51342C0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6AC1F5F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其他环境风险防控要求</w:t>
                  </w:r>
                </w:p>
              </w:tc>
              <w:tc>
                <w:tcPr>
                  <w:tcW w:w="1421" w:type="pct"/>
                  <w:noWrap w:val="0"/>
                  <w:tcMar>
                    <w:top w:w="0" w:type="dxa"/>
                    <w:left w:w="28" w:type="dxa"/>
                    <w:bottom w:w="0" w:type="dxa"/>
                    <w:right w:w="28" w:type="dxa"/>
                  </w:tcMar>
                  <w:vAlign w:val="center"/>
                </w:tcPr>
                <w:p w14:paraId="066BA140">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（1）现有涉及五类重金属的企业，不得新增污染物排放，限期退城入园或关停。</w:t>
                  </w:r>
                </w:p>
                <w:p w14:paraId="7D5A5F93">
                  <w:pPr>
                    <w:pStyle w:val="64"/>
                    <w:keepNext w:val="0"/>
                    <w:keepLines w:val="0"/>
                    <w:pageBreakBefore w:val="0"/>
                    <w:widowControl w:val="0"/>
                    <w:numPr>
                      <w:ilvl w:val="-1"/>
                      <w:numId w:val="0"/>
                    </w:numPr>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（2）对拟收回土地使用权的有色金属矿采选、有色金属冶炼、危废处置等行业企业用地</w:t>
                  </w:r>
                  <w:r>
                    <w:rPr>
                      <w:rFonts w:hint="eastAsia"/>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u w:val="none"/>
                      <w14:textFill>
                        <w14:solidFill>
                          <w14:schemeClr w14:val="tx1"/>
                        </w14:solidFill>
                      </w14:textFill>
                    </w:rPr>
                    <w:t>以及用途拟变更为居住和商业、学校、医疗、养老机构等公共设施的上述企业用地，以及由重度污染农用地转为的城镇建设用地，开展土壤环境状况调查评估，经评估、修复满足相应用地功能后，方可改变用途。</w:t>
                  </w:r>
                </w:p>
              </w:tc>
              <w:tc>
                <w:tcPr>
                  <w:tcW w:w="1081" w:type="pct"/>
                  <w:noWrap w:val="0"/>
                  <w:tcMar>
                    <w:top w:w="0" w:type="dxa"/>
                    <w:left w:w="28" w:type="dxa"/>
                    <w:bottom w:w="0" w:type="dxa"/>
                    <w:right w:w="28" w:type="dxa"/>
                  </w:tcMar>
                  <w:vAlign w:val="center"/>
                </w:tcPr>
                <w:p w14:paraId="2DA67B4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本项目为混凝土搅拌项目，不涉及重金属</w:t>
                  </w:r>
                </w:p>
              </w:tc>
              <w:tc>
                <w:tcPr>
                  <w:tcW w:w="473" w:type="pct"/>
                  <w:noWrap w:val="0"/>
                  <w:tcMar>
                    <w:top w:w="0" w:type="dxa"/>
                    <w:left w:w="28" w:type="dxa"/>
                    <w:bottom w:w="0" w:type="dxa"/>
                    <w:right w:w="28" w:type="dxa"/>
                  </w:tcMar>
                  <w:vAlign w:val="center"/>
                </w:tcPr>
                <w:p w14:paraId="2D876C1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14:textFill>
                        <w14:solidFill>
                          <w14:schemeClr w14:val="tx1"/>
                        </w14:solidFill>
                      </w14:textFill>
                    </w:rPr>
                  </w:pPr>
                </w:p>
              </w:tc>
            </w:tr>
            <w:tr w14:paraId="0B38E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2D27D43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3C29FF5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restart"/>
                  <w:noWrap w:val="0"/>
                  <w:tcMar>
                    <w:top w:w="0" w:type="dxa"/>
                    <w:left w:w="28" w:type="dxa"/>
                    <w:bottom w:w="0" w:type="dxa"/>
                    <w:right w:w="28" w:type="dxa"/>
                  </w:tcMar>
                  <w:vAlign w:val="center"/>
                </w:tcPr>
                <w:p w14:paraId="4DE284B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ascii="宋体" w:hAnsi="宋体" w:cs="宋体"/>
                      <w:color w:val="000000" w:themeColor="text1"/>
                      <w:szCs w:val="21"/>
                      <w:highlight w:val="none"/>
                      <w:u w:val="none"/>
                      <w14:textFill>
                        <w14:solidFill>
                          <w14:schemeClr w14:val="tx1"/>
                        </w14:solidFill>
                      </w14:textFill>
                    </w:rPr>
                    <w:t>资源开发利用效率要求</w:t>
                  </w:r>
                </w:p>
              </w:tc>
              <w:tc>
                <w:tcPr>
                  <w:tcW w:w="578" w:type="pct"/>
                  <w:noWrap w:val="0"/>
                  <w:tcMar>
                    <w:top w:w="0" w:type="dxa"/>
                    <w:left w:w="28" w:type="dxa"/>
                    <w:bottom w:w="0" w:type="dxa"/>
                    <w:right w:w="28" w:type="dxa"/>
                  </w:tcMar>
                  <w:vAlign w:val="center"/>
                </w:tcPr>
                <w:p w14:paraId="372F9F1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水资源利用总量要求</w:t>
                  </w:r>
                </w:p>
              </w:tc>
              <w:tc>
                <w:tcPr>
                  <w:tcW w:w="1421" w:type="pct"/>
                  <w:noWrap w:val="0"/>
                  <w:tcMar>
                    <w:top w:w="0" w:type="dxa"/>
                    <w:left w:w="28" w:type="dxa"/>
                    <w:bottom w:w="0" w:type="dxa"/>
                    <w:right w:w="28" w:type="dxa"/>
                  </w:tcMar>
                  <w:vAlign w:val="center"/>
                </w:tcPr>
                <w:p w14:paraId="3F40136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（1）严格实行用水总量和强度控制，实施城镇节水降损，全面推进城市节水、大幅降低供水管网漏损、强化公共用水管理、严控高耗水服务用水。</w:t>
                  </w:r>
                </w:p>
                <w:p w14:paraId="1BF81E9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（2）到2025年，城市再生水利用率、工业用水重复利用、畜禽粪污和渔业养殖尾水资源化利用水平显著提升；到2035年，形成系统、安全、环保、经济的污水资源化利用格局。</w:t>
                  </w:r>
                </w:p>
              </w:tc>
              <w:tc>
                <w:tcPr>
                  <w:tcW w:w="1081" w:type="pct"/>
                  <w:noWrap w:val="0"/>
                  <w:tcMar>
                    <w:top w:w="0" w:type="dxa"/>
                    <w:left w:w="28" w:type="dxa"/>
                    <w:bottom w:w="0" w:type="dxa"/>
                    <w:right w:w="28" w:type="dxa"/>
                  </w:tcMar>
                  <w:vAlign w:val="center"/>
                </w:tcPr>
                <w:p w14:paraId="1EC0978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本项目主要用水为生产废水，环评提出生产废水经过沉淀后回用生产不外排，最大程度利用水资源</w:t>
                  </w:r>
                </w:p>
              </w:tc>
              <w:tc>
                <w:tcPr>
                  <w:tcW w:w="473" w:type="pct"/>
                  <w:noWrap w:val="0"/>
                  <w:tcMar>
                    <w:top w:w="0" w:type="dxa"/>
                    <w:left w:w="28" w:type="dxa"/>
                    <w:bottom w:w="0" w:type="dxa"/>
                    <w:right w:w="28" w:type="dxa"/>
                  </w:tcMar>
                  <w:vAlign w:val="center"/>
                </w:tcPr>
                <w:p w14:paraId="3B840A8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符合</w:t>
                  </w:r>
                </w:p>
              </w:tc>
            </w:tr>
            <w:tr w14:paraId="6608F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125BF4E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58AAB17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457E564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0CF169E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地下水开采要求</w:t>
                  </w:r>
                </w:p>
              </w:tc>
              <w:tc>
                <w:tcPr>
                  <w:tcW w:w="1421" w:type="pct"/>
                  <w:noWrap w:val="0"/>
                  <w:tcMar>
                    <w:top w:w="0" w:type="dxa"/>
                    <w:left w:w="28" w:type="dxa"/>
                    <w:bottom w:w="0" w:type="dxa"/>
                    <w:right w:w="28" w:type="dxa"/>
                  </w:tcMar>
                  <w:vAlign w:val="center"/>
                </w:tcPr>
                <w:p w14:paraId="1144A2B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color w:val="000000" w:themeColor="text1"/>
                      <w:szCs w:val="21"/>
                      <w:highlight w:val="none"/>
                      <w:u w:val="none"/>
                      <w14:textFill>
                        <w14:solidFill>
                          <w14:schemeClr w14:val="tx1"/>
                        </w14:solidFill>
                      </w14:textFill>
                    </w:rPr>
                  </w:pPr>
                  <w:r>
                    <w:rPr>
                      <w:rFonts w:hint="eastAsia"/>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3272758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528B573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292DD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082BC15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212DC5A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751E872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b w:val="0"/>
                      <w:bCs w:val="0"/>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4F13F92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b w:val="0"/>
                      <w:bCs w:val="0"/>
                      <w:color w:val="000000" w:themeColor="text1"/>
                      <w:szCs w:val="21"/>
                      <w:highlight w:val="none"/>
                      <w:u w:val="none"/>
                      <w14:textFill>
                        <w14:solidFill>
                          <w14:schemeClr w14:val="tx1"/>
                        </w14:solidFill>
                      </w14:textFill>
                    </w:rPr>
                  </w:pPr>
                  <w:r>
                    <w:rPr>
                      <w:rFonts w:hint="eastAsia"/>
                      <w:b w:val="0"/>
                      <w:bCs w:val="0"/>
                      <w:color w:val="000000" w:themeColor="text1"/>
                      <w:szCs w:val="21"/>
                      <w:highlight w:val="none"/>
                      <w:u w:val="none"/>
                      <w14:textFill>
                        <w14:solidFill>
                          <w14:schemeClr w14:val="tx1"/>
                        </w14:solidFill>
                      </w14:textFill>
                    </w:rPr>
                    <w:t>能源利用总量及效率要求</w:t>
                  </w:r>
                </w:p>
              </w:tc>
              <w:tc>
                <w:tcPr>
                  <w:tcW w:w="1421" w:type="pct"/>
                  <w:noWrap w:val="0"/>
                  <w:tcMar>
                    <w:top w:w="0" w:type="dxa"/>
                    <w:left w:w="28" w:type="dxa"/>
                    <w:bottom w:w="0" w:type="dxa"/>
                    <w:right w:w="28" w:type="dxa"/>
                  </w:tcMar>
                  <w:vAlign w:val="center"/>
                </w:tcPr>
                <w:p w14:paraId="3EBCFF5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rFonts w:hint="eastAsia"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暂无</w:t>
                  </w:r>
                </w:p>
              </w:tc>
              <w:tc>
                <w:tcPr>
                  <w:tcW w:w="1081" w:type="pct"/>
                  <w:noWrap w:val="0"/>
                  <w:tcMar>
                    <w:top w:w="0" w:type="dxa"/>
                    <w:left w:w="28" w:type="dxa"/>
                    <w:bottom w:w="0" w:type="dxa"/>
                    <w:right w:w="28" w:type="dxa"/>
                  </w:tcMar>
                  <w:vAlign w:val="center"/>
                </w:tcPr>
                <w:p w14:paraId="5BF8559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eastAsia="宋体"/>
                      <w:color w:val="000000" w:themeColor="text1"/>
                      <w:szCs w:val="21"/>
                      <w:highlight w:val="none"/>
                      <w:u w:val="singl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22D226E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3F631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8A9BAD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098DD8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vMerge w:val="continue"/>
                  <w:noWrap w:val="0"/>
                  <w:tcMar>
                    <w:top w:w="0" w:type="dxa"/>
                    <w:left w:w="28" w:type="dxa"/>
                    <w:bottom w:w="0" w:type="dxa"/>
                    <w:right w:w="28" w:type="dxa"/>
                  </w:tcMar>
                  <w:vAlign w:val="center"/>
                </w:tcPr>
                <w:p w14:paraId="4DD1810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578" w:type="pct"/>
                  <w:noWrap w:val="0"/>
                  <w:tcMar>
                    <w:top w:w="0" w:type="dxa"/>
                    <w:left w:w="28" w:type="dxa"/>
                    <w:bottom w:w="0" w:type="dxa"/>
                    <w:right w:w="28" w:type="dxa"/>
                  </w:tcMar>
                  <w:vAlign w:val="center"/>
                </w:tcPr>
                <w:p w14:paraId="6EC633D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b w:val="0"/>
                      <w:bCs w:val="0"/>
                      <w:color w:val="000000" w:themeColor="text1"/>
                      <w:szCs w:val="21"/>
                      <w:highlight w:val="none"/>
                      <w:u w:val="none"/>
                      <w14:textFill>
                        <w14:solidFill>
                          <w14:schemeClr w14:val="tx1"/>
                        </w14:solidFill>
                      </w14:textFill>
                    </w:rPr>
                  </w:pPr>
                  <w:r>
                    <w:rPr>
                      <w:rFonts w:hint="eastAsia"/>
                      <w:b w:val="0"/>
                      <w:bCs w:val="0"/>
                      <w:color w:val="000000" w:themeColor="text1"/>
                      <w:szCs w:val="21"/>
                      <w:highlight w:val="none"/>
                      <w:u w:val="none"/>
                      <w14:textFill>
                        <w14:solidFill>
                          <w14:schemeClr w14:val="tx1"/>
                        </w14:solidFill>
                      </w14:textFill>
                    </w:rPr>
                    <w:t>其他资源利用效率要求</w:t>
                  </w:r>
                </w:p>
              </w:tc>
              <w:tc>
                <w:tcPr>
                  <w:tcW w:w="1421" w:type="pct"/>
                  <w:noWrap w:val="0"/>
                  <w:tcMar>
                    <w:top w:w="0" w:type="dxa"/>
                    <w:left w:w="28" w:type="dxa"/>
                    <w:bottom w:w="0" w:type="dxa"/>
                    <w:right w:w="28" w:type="dxa"/>
                  </w:tcMar>
                  <w:vAlign w:val="center"/>
                </w:tcPr>
                <w:p w14:paraId="7FE79F0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rFonts w:hint="eastAsia"/>
                      <w:b w:val="0"/>
                      <w:bCs w:val="0"/>
                      <w:color w:val="000000" w:themeColor="text1"/>
                      <w:szCs w:val="21"/>
                      <w:highlight w:val="none"/>
                      <w:u w:val="none"/>
                      <w14:textFill>
                        <w14:solidFill>
                          <w14:schemeClr w14:val="tx1"/>
                        </w14:solidFill>
                      </w14:textFill>
                    </w:rPr>
                  </w:pPr>
                  <w:r>
                    <w:rPr>
                      <w:rFonts w:hint="eastAsia"/>
                      <w:b w:val="0"/>
                      <w:bCs w:val="0"/>
                      <w:color w:val="000000" w:themeColor="text1"/>
                      <w:szCs w:val="21"/>
                      <w:highlight w:val="none"/>
                      <w:u w:val="none"/>
                      <w14:textFill>
                        <w14:solidFill>
                          <w14:schemeClr w14:val="tx1"/>
                        </w14:solidFill>
                      </w14:textFill>
                    </w:rPr>
                    <w:t>暂无</w:t>
                  </w:r>
                </w:p>
              </w:tc>
              <w:tc>
                <w:tcPr>
                  <w:tcW w:w="1081" w:type="pct"/>
                  <w:noWrap w:val="0"/>
                  <w:tcMar>
                    <w:top w:w="0" w:type="dxa"/>
                    <w:left w:w="28" w:type="dxa"/>
                    <w:bottom w:w="0" w:type="dxa"/>
                    <w:right w:w="28" w:type="dxa"/>
                  </w:tcMar>
                  <w:vAlign w:val="center"/>
                </w:tcPr>
                <w:p w14:paraId="6BE385E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473" w:type="pct"/>
                  <w:noWrap w:val="0"/>
                  <w:tcMar>
                    <w:top w:w="0" w:type="dxa"/>
                    <w:left w:w="28" w:type="dxa"/>
                    <w:bottom w:w="0" w:type="dxa"/>
                    <w:right w:w="28" w:type="dxa"/>
                  </w:tcMar>
                  <w:vAlign w:val="center"/>
                </w:tcPr>
                <w:p w14:paraId="5E9CDD8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34CBD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366CF54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restart"/>
                  <w:noWrap w:val="0"/>
                  <w:tcMar>
                    <w:top w:w="0" w:type="dxa"/>
                    <w:left w:w="28" w:type="dxa"/>
                    <w:bottom w:w="0" w:type="dxa"/>
                    <w:right w:w="28" w:type="dxa"/>
                  </w:tcMar>
                  <w:vAlign w:val="center"/>
                </w:tcPr>
                <w:p w14:paraId="768C3F1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县区普适性清单管控要求</w:t>
                  </w:r>
                </w:p>
              </w:tc>
              <w:tc>
                <w:tcPr>
                  <w:tcW w:w="248" w:type="pct"/>
                  <w:noWrap w:val="0"/>
                  <w:tcMar>
                    <w:top w:w="0" w:type="dxa"/>
                    <w:left w:w="28" w:type="dxa"/>
                    <w:bottom w:w="0" w:type="dxa"/>
                    <w:right w:w="28" w:type="dxa"/>
                  </w:tcMar>
                  <w:vAlign w:val="center"/>
                </w:tcPr>
                <w:p w14:paraId="064E533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eastAsia="宋体"/>
                      <w:color w:val="000000" w:themeColor="text1"/>
                      <w:szCs w:val="21"/>
                      <w:highlight w:val="none"/>
                      <w:u w:val="none"/>
                      <w:lang w:eastAsia="zh-CN"/>
                      <w14:textFill>
                        <w14:solidFill>
                          <w14:schemeClr w14:val="tx1"/>
                        </w14:solidFill>
                      </w14:textFill>
                    </w:rPr>
                  </w:pPr>
                  <w:r>
                    <w:rPr>
                      <w:color w:val="000000" w:themeColor="text1"/>
                      <w:szCs w:val="21"/>
                      <w:highlight w:val="none"/>
                      <w:u w:val="none"/>
                      <w14:textFill>
                        <w14:solidFill>
                          <w14:schemeClr w14:val="tx1"/>
                        </w14:solidFill>
                      </w14:textFill>
                    </w:rPr>
                    <w:t>空间布局约束</w:t>
                  </w:r>
                </w:p>
              </w:tc>
              <w:tc>
                <w:tcPr>
                  <w:tcW w:w="2000" w:type="pct"/>
                  <w:gridSpan w:val="2"/>
                  <w:noWrap w:val="0"/>
                  <w:tcMar>
                    <w:top w:w="0" w:type="dxa"/>
                    <w:left w:w="28" w:type="dxa"/>
                    <w:bottom w:w="0" w:type="dxa"/>
                    <w:right w:w="28" w:type="dxa"/>
                  </w:tcMar>
                  <w:vAlign w:val="center"/>
                </w:tcPr>
                <w:p w14:paraId="4A32D2F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禁止开发建设活动的要求:</w:t>
                  </w:r>
                </w:p>
                <w:p w14:paraId="5AAF8DE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优先保护区禁止违法开发建设活动，严禁在城市建成区以及近郊区域，新建、扩建石化、农药、电解铝、氯碱化工等高污染、高环境风险产业；禁止在长江干支流岸线一公里范围内新建、扩建化工园区和化工项目；禁止在长江流域河湖管理范围内倾倒、填埋、堆放、弃置、处理固体废物；禁止在法律法规规定的禁采区内开采矿产。</w:t>
                  </w:r>
                </w:p>
                <w:p w14:paraId="2D07BAB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限制开发建设活动的要求:</w:t>
                  </w:r>
                </w:p>
                <w:p w14:paraId="5E97D87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加强雅砻江源生态功能重要区保护，严控环境风险突出项目的引入；加强草地沙化和鼠虫害防治；加强大气污染治理，推进秸秆综合利用；合理化畜禽养殖布局，推进畜禽粪污无害化、资源化综合处置利用。</w:t>
                  </w:r>
                </w:p>
                <w:p w14:paraId="31B7CFC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允许开发建设活动的要求:</w:t>
                  </w:r>
                </w:p>
                <w:p w14:paraId="4809F25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暂无</w:t>
                  </w:r>
                </w:p>
                <w:p w14:paraId="55C46CB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不符合空间布局要求活动的退出要求:</w:t>
                  </w:r>
                </w:p>
                <w:p w14:paraId="28AE9E5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不符合生态保护红线、自然保护地及各类优先保护区域相应法律法规、管理办法及相关行业企业布局选址要求的活动退出</w:t>
                  </w:r>
                </w:p>
                <w:p w14:paraId="4A2CB1C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其他空间布局约束要求:/</w:t>
                  </w:r>
                </w:p>
              </w:tc>
              <w:tc>
                <w:tcPr>
                  <w:tcW w:w="1081" w:type="pct"/>
                  <w:noWrap w:val="0"/>
                  <w:tcMar>
                    <w:top w:w="0" w:type="dxa"/>
                    <w:left w:w="28" w:type="dxa"/>
                    <w:bottom w:w="0" w:type="dxa"/>
                    <w:right w:w="28" w:type="dxa"/>
                  </w:tcMar>
                  <w:vAlign w:val="center"/>
                </w:tcPr>
                <w:p w14:paraId="44F6EF96">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本项目为混凝土搅拌项目，不属于石化、农药、电解铝、氯碱化工等高污染、高环境风险产业，不属于有色金属冶炼等行业企业；本项目原料为砂石，粉煤灰和水泥等，不会对土壤造成严重污染。</w:t>
                  </w:r>
                </w:p>
                <w:p w14:paraId="7B9E503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不涉及在长江流域河湖管理范围内倾倒、填埋、堆放、弃置、处理固体废物。</w:t>
                  </w:r>
                </w:p>
              </w:tc>
              <w:tc>
                <w:tcPr>
                  <w:tcW w:w="473" w:type="pct"/>
                  <w:noWrap w:val="0"/>
                  <w:tcMar>
                    <w:top w:w="0" w:type="dxa"/>
                    <w:left w:w="28" w:type="dxa"/>
                    <w:bottom w:w="0" w:type="dxa"/>
                    <w:right w:w="28" w:type="dxa"/>
                  </w:tcMar>
                  <w:vAlign w:val="center"/>
                </w:tcPr>
                <w:p w14:paraId="0677427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符合</w:t>
                  </w:r>
                </w:p>
              </w:tc>
            </w:tr>
            <w:tr w14:paraId="3F4CB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57B2759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346A55D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noWrap w:val="0"/>
                  <w:tcMar>
                    <w:top w:w="0" w:type="dxa"/>
                    <w:left w:w="28" w:type="dxa"/>
                    <w:bottom w:w="0" w:type="dxa"/>
                    <w:right w:w="28" w:type="dxa"/>
                  </w:tcMar>
                  <w:vAlign w:val="center"/>
                </w:tcPr>
                <w:p w14:paraId="76F1D9B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14:textFill>
                        <w14:solidFill>
                          <w14:schemeClr w14:val="tx1"/>
                        </w14:solidFill>
                      </w14:textFill>
                    </w:rPr>
                    <w:t>污染物排放管控</w:t>
                  </w:r>
                </w:p>
              </w:tc>
              <w:tc>
                <w:tcPr>
                  <w:tcW w:w="2000" w:type="pct"/>
                  <w:gridSpan w:val="2"/>
                  <w:noWrap w:val="0"/>
                  <w:tcMar>
                    <w:top w:w="0" w:type="dxa"/>
                    <w:left w:w="28" w:type="dxa"/>
                    <w:bottom w:w="0" w:type="dxa"/>
                    <w:right w:w="28" w:type="dxa"/>
                  </w:tcMar>
                  <w:vAlign w:val="center"/>
                </w:tcPr>
                <w:p w14:paraId="36D007B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现有源提标升级改造:暂无</w:t>
                  </w:r>
                </w:p>
                <w:p w14:paraId="5CE18EB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新增源等量或倍量替代:暂无</w:t>
                  </w:r>
                </w:p>
                <w:p w14:paraId="41F6768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新增源排放标准限值:暂无</w:t>
                  </w:r>
                </w:p>
                <w:p w14:paraId="70C9868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污染物排放绩效水平准入要求:暂无</w:t>
                  </w:r>
                </w:p>
                <w:p w14:paraId="198A6C9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其他污染物排放管控要求:暂无</w:t>
                  </w:r>
                </w:p>
              </w:tc>
              <w:tc>
                <w:tcPr>
                  <w:tcW w:w="1081" w:type="pct"/>
                  <w:noWrap w:val="0"/>
                  <w:tcMar>
                    <w:top w:w="0" w:type="dxa"/>
                    <w:left w:w="28" w:type="dxa"/>
                    <w:bottom w:w="0" w:type="dxa"/>
                    <w:right w:w="28" w:type="dxa"/>
                  </w:tcMar>
                  <w:vAlign w:val="center"/>
                </w:tcPr>
                <w:p w14:paraId="72394A2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eastAsia" w:ascii="Times New Roman" w:cs="Times New Roman"/>
                      <w:color w:val="000000" w:themeColor="text1"/>
                      <w:szCs w:val="21"/>
                      <w:highlight w:val="none"/>
                      <w:u w:val="none"/>
                      <w:lang w:val="en-US" w:eastAsia="zh-CN"/>
                      <w14:textFill>
                        <w14:solidFill>
                          <w14:schemeClr w14:val="tx1"/>
                        </w14:solidFill>
                      </w14:textFill>
                    </w:rPr>
                    <w:t>/</w:t>
                  </w:r>
                </w:p>
              </w:tc>
              <w:tc>
                <w:tcPr>
                  <w:tcW w:w="473" w:type="pct"/>
                  <w:noWrap w:val="0"/>
                  <w:tcMar>
                    <w:top w:w="0" w:type="dxa"/>
                    <w:left w:w="28" w:type="dxa"/>
                    <w:bottom w:w="0" w:type="dxa"/>
                    <w:right w:w="28" w:type="dxa"/>
                  </w:tcMar>
                  <w:vAlign w:val="center"/>
                </w:tcPr>
                <w:p w14:paraId="5EC7036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default"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w:t>
                  </w:r>
                </w:p>
              </w:tc>
            </w:tr>
            <w:tr w14:paraId="7E054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BD690D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017C0F9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noWrap w:val="0"/>
                  <w:tcMar>
                    <w:top w:w="0" w:type="dxa"/>
                    <w:left w:w="28" w:type="dxa"/>
                    <w:bottom w:w="0" w:type="dxa"/>
                    <w:right w:w="28" w:type="dxa"/>
                  </w:tcMar>
                  <w:vAlign w:val="center"/>
                </w:tcPr>
                <w:p w14:paraId="114DCFE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14:textFill>
                        <w14:solidFill>
                          <w14:schemeClr w14:val="tx1"/>
                        </w14:solidFill>
                      </w14:textFill>
                    </w:rPr>
                    <w:t>环境风险防控</w:t>
                  </w:r>
                </w:p>
              </w:tc>
              <w:tc>
                <w:tcPr>
                  <w:tcW w:w="2000" w:type="pct"/>
                  <w:gridSpan w:val="2"/>
                  <w:noWrap w:val="0"/>
                  <w:tcMar>
                    <w:top w:w="0" w:type="dxa"/>
                    <w:left w:w="28" w:type="dxa"/>
                    <w:bottom w:w="0" w:type="dxa"/>
                    <w:right w:w="28" w:type="dxa"/>
                  </w:tcMar>
                  <w:vAlign w:val="center"/>
                </w:tcPr>
                <w:p w14:paraId="66D6FFE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严格管控类农用地管控要求:暂无</w:t>
                  </w:r>
                </w:p>
                <w:p w14:paraId="627785A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安全利用类农用地管控要求:暂无</w:t>
                  </w:r>
                </w:p>
                <w:p w14:paraId="72F30F3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污染地块管控要求:暂无</w:t>
                  </w:r>
                </w:p>
                <w:p w14:paraId="5C704C5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园区环境风险防控要求:暂无</w:t>
                  </w:r>
                </w:p>
                <w:p w14:paraId="5F9EAE1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企业环境风险防控要求:暂无</w:t>
                  </w:r>
                </w:p>
                <w:p w14:paraId="5F92D22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其他环境风险防控要求:暂无</w:t>
                  </w:r>
                </w:p>
              </w:tc>
              <w:tc>
                <w:tcPr>
                  <w:tcW w:w="1081" w:type="pct"/>
                  <w:noWrap w:val="0"/>
                  <w:tcMar>
                    <w:top w:w="0" w:type="dxa"/>
                    <w:left w:w="28" w:type="dxa"/>
                    <w:bottom w:w="0" w:type="dxa"/>
                    <w:right w:w="28" w:type="dxa"/>
                  </w:tcMar>
                  <w:vAlign w:val="center"/>
                </w:tcPr>
                <w:p w14:paraId="030BF1A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w:t>
                  </w:r>
                </w:p>
              </w:tc>
              <w:tc>
                <w:tcPr>
                  <w:tcW w:w="473" w:type="pct"/>
                  <w:noWrap w:val="0"/>
                  <w:tcMar>
                    <w:top w:w="0" w:type="dxa"/>
                    <w:left w:w="28" w:type="dxa"/>
                    <w:bottom w:w="0" w:type="dxa"/>
                    <w:right w:w="28" w:type="dxa"/>
                  </w:tcMar>
                  <w:vAlign w:val="center"/>
                </w:tcPr>
                <w:p w14:paraId="03FA97B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w:t>
                  </w:r>
                </w:p>
              </w:tc>
            </w:tr>
            <w:tr w14:paraId="23E6E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45119D0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140DBCC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48" w:type="pct"/>
                  <w:noWrap w:val="0"/>
                  <w:tcMar>
                    <w:top w:w="0" w:type="dxa"/>
                    <w:left w:w="28" w:type="dxa"/>
                    <w:bottom w:w="0" w:type="dxa"/>
                    <w:right w:w="28" w:type="dxa"/>
                  </w:tcMar>
                  <w:vAlign w:val="center"/>
                </w:tcPr>
                <w:p w14:paraId="4E8320A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14:textFill>
                        <w14:solidFill>
                          <w14:schemeClr w14:val="tx1"/>
                        </w14:solidFill>
                      </w14:textFill>
                    </w:rPr>
                    <w:t>资源开发效率要求</w:t>
                  </w:r>
                </w:p>
              </w:tc>
              <w:tc>
                <w:tcPr>
                  <w:tcW w:w="2000" w:type="pct"/>
                  <w:gridSpan w:val="2"/>
                  <w:noWrap w:val="0"/>
                  <w:tcMar>
                    <w:top w:w="0" w:type="dxa"/>
                    <w:left w:w="28" w:type="dxa"/>
                    <w:bottom w:w="0" w:type="dxa"/>
                    <w:right w:w="28" w:type="dxa"/>
                  </w:tcMar>
                  <w:vAlign w:val="center"/>
                </w:tcPr>
                <w:p w14:paraId="79D2195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水资源利用效率要求:暂无</w:t>
                  </w:r>
                </w:p>
                <w:p w14:paraId="07FFFFA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地下水开采要求:暂无</w:t>
                  </w:r>
                </w:p>
                <w:p w14:paraId="70E3246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能源利用效率要求:暂无</w:t>
                  </w:r>
                </w:p>
                <w:p w14:paraId="17E6EC6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其他资源利用效率要求:暂无</w:t>
                  </w:r>
                </w:p>
              </w:tc>
              <w:tc>
                <w:tcPr>
                  <w:tcW w:w="1081" w:type="pct"/>
                  <w:noWrap w:val="0"/>
                  <w:tcMar>
                    <w:top w:w="0" w:type="dxa"/>
                    <w:left w:w="28" w:type="dxa"/>
                    <w:bottom w:w="0" w:type="dxa"/>
                    <w:right w:w="28" w:type="dxa"/>
                  </w:tcMar>
                  <w:vAlign w:val="center"/>
                </w:tcPr>
                <w:p w14:paraId="134C714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w:t>
                  </w:r>
                </w:p>
              </w:tc>
              <w:tc>
                <w:tcPr>
                  <w:tcW w:w="473" w:type="pct"/>
                  <w:noWrap w:val="0"/>
                  <w:tcMar>
                    <w:top w:w="0" w:type="dxa"/>
                    <w:left w:w="28" w:type="dxa"/>
                    <w:bottom w:w="0" w:type="dxa"/>
                    <w:right w:w="28" w:type="dxa"/>
                  </w:tcMar>
                  <w:vAlign w:val="center"/>
                </w:tcPr>
                <w:p w14:paraId="04ADB5A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rFonts w:hint="eastAsia" w:eastAsia="宋体"/>
                      <w:color w:val="000000" w:themeColor="text1"/>
                      <w:szCs w:val="21"/>
                      <w:highlight w:val="none"/>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w:t>
                  </w:r>
                </w:p>
              </w:tc>
            </w:tr>
            <w:tr w14:paraId="7516F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5C6A0A6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p>
              </w:tc>
              <w:tc>
                <w:tcPr>
                  <w:tcW w:w="254" w:type="pct"/>
                  <w:vMerge w:val="restart"/>
                  <w:noWrap w:val="0"/>
                  <w:tcMar>
                    <w:top w:w="0" w:type="dxa"/>
                    <w:left w:w="28" w:type="dxa"/>
                    <w:bottom w:w="0" w:type="dxa"/>
                    <w:right w:w="28" w:type="dxa"/>
                  </w:tcMar>
                  <w:vAlign w:val="center"/>
                </w:tcPr>
                <w:p w14:paraId="0AAC1048">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单元级清单管控要求</w:t>
                  </w:r>
                </w:p>
              </w:tc>
              <w:tc>
                <w:tcPr>
                  <w:tcW w:w="248" w:type="pct"/>
                  <w:noWrap w:val="0"/>
                  <w:tcMar>
                    <w:top w:w="0" w:type="dxa"/>
                    <w:left w:w="28" w:type="dxa"/>
                    <w:bottom w:w="0" w:type="dxa"/>
                    <w:right w:w="28" w:type="dxa"/>
                  </w:tcMar>
                  <w:vAlign w:val="center"/>
                </w:tcPr>
                <w:p w14:paraId="26F5CBF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空间布局约束</w:t>
                  </w:r>
                </w:p>
              </w:tc>
              <w:tc>
                <w:tcPr>
                  <w:tcW w:w="2000" w:type="pct"/>
                  <w:gridSpan w:val="2"/>
                  <w:noWrap w:val="0"/>
                  <w:tcMar>
                    <w:top w:w="0" w:type="dxa"/>
                    <w:left w:w="28" w:type="dxa"/>
                    <w:bottom w:w="0" w:type="dxa"/>
                    <w:right w:w="28" w:type="dxa"/>
                  </w:tcMar>
                  <w:vAlign w:val="center"/>
                </w:tcPr>
                <w:p w14:paraId="522E12C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禁止开发建设活动的要求:</w:t>
                  </w:r>
                </w:p>
                <w:p w14:paraId="2AE59F9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（1）禁止在退耕还林、还草、还湿的地块新建房地产开发项目。</w:t>
                  </w:r>
                </w:p>
                <w:p w14:paraId="5E4944F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（2）禁止在城镇用地布局规划确定的公共绿地、生态廊道内进行规模化开发建设。</w:t>
                  </w:r>
                </w:p>
                <w:p w14:paraId="07085C7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（3）其他执行甘孜州城镇重点管控单元总体准入要求。</w:t>
                  </w:r>
                </w:p>
                <w:p w14:paraId="15C3382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限制开发建设活动的要求:执行甘孜州城镇重点管控单元总体准入要求</w:t>
                  </w:r>
                </w:p>
                <w:p w14:paraId="4A17D53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允许开发建设活动的要求:</w:t>
                  </w:r>
                </w:p>
                <w:p w14:paraId="57B93A0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（1）在城镇用地布局规划确定的公共绿地、生态廊道内允许建设必要的公共性园林式景观服务休闲设施。</w:t>
                  </w:r>
                </w:p>
                <w:p w14:paraId="1581F0B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（2）其他执行甘孜州城镇重点管控单元总体准入要求。</w:t>
                  </w:r>
                </w:p>
                <w:p w14:paraId="06A9BF7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不符合空间布局要求活动的退出要求:（1）不符合用地性质及排放标准的企业应限期整改，并积极引导迁入工业园区。</w:t>
                  </w:r>
                </w:p>
                <w:p w14:paraId="7C86185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（2）水泥行业按相关要求推进大气污染物超低排放和深度治理。</w:t>
                  </w:r>
                </w:p>
                <w:p w14:paraId="628617F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（3）其他执行甘孜州城镇重点管控单元总体准入要求。</w:t>
                  </w:r>
                </w:p>
                <w:p w14:paraId="41D92DF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b w:val="0"/>
                      <w:bCs w:val="0"/>
                      <w:color w:val="000000" w:themeColor="text1"/>
                      <w:szCs w:val="21"/>
                      <w:highlight w:val="none"/>
                      <w:u w:val="none"/>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其他空间布局约束要求:执行甘孜州城镇重点管控单元总体准入要求</w:t>
                  </w:r>
                </w:p>
              </w:tc>
              <w:tc>
                <w:tcPr>
                  <w:tcW w:w="1081" w:type="pct"/>
                  <w:noWrap w:val="0"/>
                  <w:tcMar>
                    <w:top w:w="0" w:type="dxa"/>
                    <w:left w:w="28" w:type="dxa"/>
                    <w:bottom w:w="0" w:type="dxa"/>
                    <w:right w:w="28" w:type="dxa"/>
                  </w:tcMar>
                  <w:vAlign w:val="center"/>
                </w:tcPr>
                <w:p w14:paraId="63725F1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根据甘孜州甘孜县自然资源局出具关于地性质调整事宜的说明，本项目现为业服务业用地，该地块已在进行性质调整，拟调整为工业用地。甘孜县控制性详细规划调整完成前，同意该项目在该地块选址，</w:t>
                  </w:r>
                  <w:r>
                    <w:rPr>
                      <w:rFonts w:hint="eastAsia"/>
                      <w:color w:val="000000" w:themeColor="text1"/>
                      <w:szCs w:val="21"/>
                      <w:highlight w:val="none"/>
                      <w:lang w:eastAsia="zh-CN"/>
                      <w14:textFill>
                        <w14:solidFill>
                          <w14:schemeClr w14:val="tx1"/>
                        </w14:solidFill>
                      </w14:textFill>
                    </w:rPr>
                    <w:t>本项目不涉及退耕还林、还草、还湿的地块，城镇用地布局规划确定的公共绿地、生态廊道</w:t>
                  </w:r>
                </w:p>
                <w:p w14:paraId="55CA798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本项目颗粒物排放执行《四川省水泥工业大气污染物排放标准》（DB51/2864-2021）标准</w:t>
                  </w:r>
                </w:p>
                <w:p w14:paraId="4B6EC33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color w:val="000000" w:themeColor="text1"/>
                      <w:szCs w:val="21"/>
                      <w:highlight w:val="none"/>
                      <w:u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其他空间布局约束要求:执行甘孜州城镇重点管控单元总体准入要求</w:t>
                  </w:r>
                </w:p>
              </w:tc>
              <w:tc>
                <w:tcPr>
                  <w:tcW w:w="473" w:type="pct"/>
                  <w:noWrap w:val="0"/>
                  <w:tcMar>
                    <w:top w:w="0" w:type="dxa"/>
                    <w:left w:w="28" w:type="dxa"/>
                    <w:bottom w:w="0" w:type="dxa"/>
                    <w:right w:w="28" w:type="dxa"/>
                  </w:tcMar>
                  <w:vAlign w:val="center"/>
                </w:tcPr>
                <w:p w14:paraId="48E0654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u w:val="none"/>
                      <w14:textFill>
                        <w14:solidFill>
                          <w14:schemeClr w14:val="tx1"/>
                        </w14:solidFill>
                      </w14:textFill>
                    </w:rPr>
                  </w:pPr>
                  <w:r>
                    <w:rPr>
                      <w:color w:val="000000" w:themeColor="text1"/>
                      <w:szCs w:val="21"/>
                      <w:highlight w:val="none"/>
                      <w:u w:val="none"/>
                      <w14:textFill>
                        <w14:solidFill>
                          <w14:schemeClr w14:val="tx1"/>
                        </w14:solidFill>
                      </w14:textFill>
                    </w:rPr>
                    <w:t>符合</w:t>
                  </w:r>
                </w:p>
              </w:tc>
            </w:tr>
            <w:tr w14:paraId="5DC47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7E8D58B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63FF9B2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48" w:type="pct"/>
                  <w:noWrap w:val="0"/>
                  <w:tcMar>
                    <w:top w:w="0" w:type="dxa"/>
                    <w:left w:w="28" w:type="dxa"/>
                    <w:bottom w:w="0" w:type="dxa"/>
                    <w:right w:w="28" w:type="dxa"/>
                  </w:tcMar>
                  <w:vAlign w:val="center"/>
                </w:tcPr>
                <w:p w14:paraId="5A588A5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污染物排放管控</w:t>
                  </w:r>
                </w:p>
              </w:tc>
              <w:tc>
                <w:tcPr>
                  <w:tcW w:w="2000" w:type="pct"/>
                  <w:gridSpan w:val="2"/>
                  <w:noWrap w:val="0"/>
                  <w:tcMar>
                    <w:top w:w="0" w:type="dxa"/>
                    <w:left w:w="28" w:type="dxa"/>
                    <w:bottom w:w="0" w:type="dxa"/>
                    <w:right w:w="28" w:type="dxa"/>
                  </w:tcMar>
                  <w:vAlign w:val="center"/>
                </w:tcPr>
                <w:p w14:paraId="0D358F4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现有源提标升级改造:</w:t>
                  </w:r>
                </w:p>
                <w:p w14:paraId="160CFF4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（1）到2023年底，甘孜县污水处理厂进水生化需氧量（BOD）浓度不断提高；污泥无害化处置率达85%；县城生活垃圾无害化处理率达98%；具备厨余垃圾集中处理能力。</w:t>
                  </w:r>
                </w:p>
                <w:p w14:paraId="48A6A50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（2）其他执行甘孜州城镇重点管控单元总体准入要求。</w:t>
                  </w:r>
                </w:p>
                <w:p w14:paraId="1E6D088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新增源等量或倍量替代:暂无</w:t>
                  </w:r>
                </w:p>
                <w:p w14:paraId="7BD3526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新增源排放标准限值:暂无污染物排放绩效水平准入要求:暂无</w:t>
                  </w:r>
                </w:p>
                <w:p w14:paraId="06C12D8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其他污染物排放管控要求:执行甘孜州城镇重点管控单元总体准入要求。</w:t>
                  </w:r>
                </w:p>
              </w:tc>
              <w:tc>
                <w:tcPr>
                  <w:tcW w:w="1081" w:type="pct"/>
                  <w:noWrap w:val="0"/>
                  <w:tcMar>
                    <w:top w:w="0" w:type="dxa"/>
                    <w:left w:w="28" w:type="dxa"/>
                    <w:bottom w:w="0" w:type="dxa"/>
                    <w:right w:w="28" w:type="dxa"/>
                  </w:tcMar>
                  <w:vAlign w:val="center"/>
                </w:tcPr>
                <w:p w14:paraId="3A9406E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不涉及</w:t>
                  </w:r>
                </w:p>
              </w:tc>
              <w:tc>
                <w:tcPr>
                  <w:tcW w:w="473" w:type="pct"/>
                  <w:noWrap w:val="0"/>
                  <w:tcMar>
                    <w:top w:w="0" w:type="dxa"/>
                    <w:left w:w="28" w:type="dxa"/>
                    <w:bottom w:w="0" w:type="dxa"/>
                    <w:right w:w="28" w:type="dxa"/>
                  </w:tcMar>
                  <w:vAlign w:val="center"/>
                </w:tcPr>
                <w:p w14:paraId="0CEEC050">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p>
              </w:tc>
            </w:tr>
            <w:tr w14:paraId="5E44B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5540084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4534AF6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48" w:type="pct"/>
                  <w:noWrap w:val="0"/>
                  <w:tcMar>
                    <w:top w:w="0" w:type="dxa"/>
                    <w:left w:w="28" w:type="dxa"/>
                    <w:bottom w:w="0" w:type="dxa"/>
                    <w:right w:w="28" w:type="dxa"/>
                  </w:tcMar>
                  <w:vAlign w:val="center"/>
                </w:tcPr>
                <w:p w14:paraId="65769864">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环境风险防控</w:t>
                  </w:r>
                </w:p>
              </w:tc>
              <w:tc>
                <w:tcPr>
                  <w:tcW w:w="2000" w:type="pct"/>
                  <w:gridSpan w:val="2"/>
                  <w:noWrap w:val="0"/>
                  <w:tcMar>
                    <w:top w:w="0" w:type="dxa"/>
                    <w:left w:w="28" w:type="dxa"/>
                    <w:bottom w:w="0" w:type="dxa"/>
                    <w:right w:w="28" w:type="dxa"/>
                  </w:tcMar>
                  <w:vAlign w:val="center"/>
                </w:tcPr>
                <w:p w14:paraId="37C473B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严格管控类农用地管控要求:执行甘孜州城镇重点管控单元总体准入要求</w:t>
                  </w:r>
                </w:p>
                <w:p w14:paraId="36E45BF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安全利用类农用地管控要求:执行甘孜州城镇重点管控单元总体准入要求</w:t>
                  </w:r>
                </w:p>
                <w:p w14:paraId="44EC9285">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污染地块管控要求:执行甘孜州城镇重点管控单元总体准入要求</w:t>
                  </w:r>
                </w:p>
                <w:p w14:paraId="73C8187F">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园区环境风险防控要求:/</w:t>
                  </w:r>
                </w:p>
                <w:p w14:paraId="77D467C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企业环境风险防控要求:执行甘孜州城镇重点管控单元总体准入要求</w:t>
                  </w:r>
                </w:p>
                <w:p w14:paraId="41DC97C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其他环境风险防控要求:</w:t>
                  </w:r>
                </w:p>
                <w:p w14:paraId="5694DCB7">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（1）严控涉危、涉化企业新建，严防环境风险。</w:t>
                  </w:r>
                </w:p>
                <w:p w14:paraId="0D1FCB71">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（2）其他执行甘孜州城镇重点管控单元总体准入要求。</w:t>
                  </w:r>
                </w:p>
              </w:tc>
              <w:tc>
                <w:tcPr>
                  <w:tcW w:w="1081" w:type="pct"/>
                  <w:noWrap w:val="0"/>
                  <w:tcMar>
                    <w:top w:w="0" w:type="dxa"/>
                    <w:left w:w="28" w:type="dxa"/>
                    <w:bottom w:w="0" w:type="dxa"/>
                    <w:right w:w="28" w:type="dxa"/>
                  </w:tcMar>
                  <w:vAlign w:val="center"/>
                </w:tcPr>
                <w:p w14:paraId="2C00F4F9">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项目</w:t>
                  </w:r>
                  <w:r>
                    <w:rPr>
                      <w:rFonts w:hint="eastAsia"/>
                      <w:color w:val="000000" w:themeColor="text1"/>
                      <w:szCs w:val="21"/>
                      <w:highlight w:val="none"/>
                      <w14:textFill>
                        <w14:solidFill>
                          <w14:schemeClr w14:val="tx1"/>
                        </w14:solidFill>
                      </w14:textFill>
                    </w:rPr>
                    <w:t>满足</w:t>
                  </w:r>
                  <w:r>
                    <w:rPr>
                      <w:rFonts w:hint="eastAsia"/>
                      <w:color w:val="000000" w:themeColor="text1"/>
                      <w:szCs w:val="21"/>
                      <w:highlight w:val="none"/>
                      <w:u w:val="none"/>
                      <w:lang w:val="en-US" w:eastAsia="zh-CN"/>
                      <w14:textFill>
                        <w14:solidFill>
                          <w14:schemeClr w14:val="tx1"/>
                        </w14:solidFill>
                      </w14:textFill>
                    </w:rPr>
                    <w:t>甘孜州城镇重点管控单元总体准入要求；项目不涉及污染地块，</w:t>
                  </w:r>
                  <w:r>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t>落实评价提出的环境风险防控措施后，</w:t>
                  </w:r>
                  <w:r>
                    <w:rPr>
                      <w:rFonts w:hint="eastAsia"/>
                      <w:color w:val="000000" w:themeColor="text1"/>
                      <w:szCs w:val="21"/>
                      <w:highlight w:val="none"/>
                      <w:u w:val="none"/>
                      <w:lang w:val="en-US" w:eastAsia="zh-CN"/>
                      <w14:textFill>
                        <w14:solidFill>
                          <w14:schemeClr w14:val="tx1"/>
                        </w14:solidFill>
                      </w14:textFill>
                    </w:rPr>
                    <w:t>环境风险可控。</w:t>
                  </w:r>
                </w:p>
              </w:tc>
              <w:tc>
                <w:tcPr>
                  <w:tcW w:w="473" w:type="pct"/>
                  <w:noWrap w:val="0"/>
                  <w:tcMar>
                    <w:top w:w="0" w:type="dxa"/>
                    <w:left w:w="28" w:type="dxa"/>
                    <w:bottom w:w="0" w:type="dxa"/>
                    <w:right w:w="28" w:type="dxa"/>
                  </w:tcMar>
                  <w:vAlign w:val="center"/>
                </w:tcPr>
                <w:p w14:paraId="4A8DFFAE">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46EC9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41" w:type="pct"/>
                  <w:vMerge w:val="continue"/>
                  <w:noWrap w:val="0"/>
                  <w:tcMar>
                    <w:top w:w="0" w:type="dxa"/>
                    <w:left w:w="28" w:type="dxa"/>
                    <w:bottom w:w="0" w:type="dxa"/>
                    <w:right w:w="28" w:type="dxa"/>
                  </w:tcMar>
                  <w:vAlign w:val="center"/>
                </w:tcPr>
                <w:p w14:paraId="10A1809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54" w:type="pct"/>
                  <w:vMerge w:val="continue"/>
                  <w:noWrap w:val="0"/>
                  <w:tcMar>
                    <w:top w:w="0" w:type="dxa"/>
                    <w:left w:w="28" w:type="dxa"/>
                    <w:bottom w:w="0" w:type="dxa"/>
                    <w:right w:w="28" w:type="dxa"/>
                  </w:tcMar>
                  <w:vAlign w:val="center"/>
                </w:tcPr>
                <w:p w14:paraId="08C943C3">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p>
              </w:tc>
              <w:tc>
                <w:tcPr>
                  <w:tcW w:w="248" w:type="pct"/>
                  <w:noWrap w:val="0"/>
                  <w:tcMar>
                    <w:top w:w="0" w:type="dxa"/>
                    <w:left w:w="28" w:type="dxa"/>
                    <w:bottom w:w="0" w:type="dxa"/>
                    <w:right w:w="28" w:type="dxa"/>
                  </w:tcMar>
                  <w:vAlign w:val="center"/>
                </w:tcPr>
                <w:p w14:paraId="160DE2DA">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资源开发效率要求</w:t>
                  </w:r>
                </w:p>
              </w:tc>
              <w:tc>
                <w:tcPr>
                  <w:tcW w:w="2000" w:type="pct"/>
                  <w:gridSpan w:val="2"/>
                  <w:noWrap w:val="0"/>
                  <w:tcMar>
                    <w:top w:w="0" w:type="dxa"/>
                    <w:left w:w="28" w:type="dxa"/>
                    <w:bottom w:w="0" w:type="dxa"/>
                    <w:right w:w="28" w:type="dxa"/>
                  </w:tcMar>
                  <w:vAlign w:val="center"/>
                </w:tcPr>
                <w:p w14:paraId="33C9B60D">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水资源利用效率要求:执行甘孜州城镇重点管控单元总体准入要求</w:t>
                  </w:r>
                </w:p>
                <w:p w14:paraId="7280B272">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地下水开采要求:执行甘孜州城镇重点管控单元总体准入要求</w:t>
                  </w:r>
                </w:p>
                <w:p w14:paraId="209492E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rFonts w:hint="eastAsia"/>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能源利用效率要求:执行甘孜州城镇重点管控单元总体准入要求</w:t>
                  </w:r>
                </w:p>
                <w:p w14:paraId="3EF0966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其他资源利用效率要求:执行甘孜州城镇重点管控单元总体准入要求</w:t>
                  </w:r>
                </w:p>
              </w:tc>
              <w:tc>
                <w:tcPr>
                  <w:tcW w:w="1081" w:type="pct"/>
                  <w:noWrap w:val="0"/>
                  <w:tcMar>
                    <w:top w:w="0" w:type="dxa"/>
                    <w:left w:w="28" w:type="dxa"/>
                    <w:bottom w:w="0" w:type="dxa"/>
                    <w:right w:w="28" w:type="dxa"/>
                  </w:tcMar>
                  <w:vAlign w:val="center"/>
                </w:tcPr>
                <w:p w14:paraId="3EB6335C">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420" w:firstLineChars="200"/>
                    <w:jc w:val="both"/>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本项目主要用水为生产废水，环评提出生产废水经过沉淀后回用生产不外排，最大程度利用水资源</w:t>
                  </w:r>
                </w:p>
              </w:tc>
              <w:tc>
                <w:tcPr>
                  <w:tcW w:w="473" w:type="pct"/>
                  <w:noWrap w:val="0"/>
                  <w:tcMar>
                    <w:top w:w="0" w:type="dxa"/>
                    <w:left w:w="28" w:type="dxa"/>
                    <w:bottom w:w="0" w:type="dxa"/>
                    <w:right w:w="28" w:type="dxa"/>
                  </w:tcMar>
                  <w:vAlign w:val="center"/>
                </w:tcPr>
                <w:p w14:paraId="080FCFDB">
                  <w:pPr>
                    <w:pStyle w:val="64"/>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14:paraId="3CD3686D">
            <w:pPr>
              <w:spacing w:beforeLines="0" w:afterLines="0" w:line="360" w:lineRule="auto"/>
              <w:ind w:left="0" w:leftChars="0" w:right="0" w:rightChars="0" w:firstLine="482" w:firstLineChars="200"/>
              <w:jc w:val="both"/>
              <w:textAlignment w:val="baseline"/>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根据上述分析可知，本项目符合生态环境准入清单管控要求。</w:t>
            </w:r>
          </w:p>
          <w:p w14:paraId="67501C11">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、行业相关符合性分析</w:t>
            </w:r>
          </w:p>
          <w:p w14:paraId="2D48B657">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与《预拌混凝土绿色生产及管理技术规程》符合性分析</w:t>
            </w:r>
          </w:p>
          <w:p w14:paraId="53852CF1">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本项目为新建工程，企业建设将严格执行《预拌混凝土绿色生产及管理技术规程》（JGJ/T328-2014）。</w:t>
            </w:r>
          </w:p>
          <w:p w14:paraId="0254DEF8">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本项目设计与《预拌混凝土绿色生产及管理技术规程》（JGJ/T328-2014）的符合性分析如下。</w:t>
            </w:r>
          </w:p>
          <w:p w14:paraId="5DDACE99">
            <w:pPr>
              <w:keepNext w:val="0"/>
              <w:keepLines w:val="0"/>
              <w:pageBreakBefore w:val="0"/>
              <w:kinsoku/>
              <w:wordWrap/>
              <w:overflowPunct/>
              <w:bidi w:val="0"/>
              <w:adjustRightInd/>
              <w:snapToGrid/>
              <w:spacing w:beforeLines="0" w:beforeAutospacing="0" w:afterLines="0" w:afterAutospacing="0" w:line="360" w:lineRule="auto"/>
              <w:ind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与《预拌混凝土绿色生产及管理技术规程》（JGJ/T328-2014）符合性分析</w:t>
            </w:r>
          </w:p>
          <w:tbl>
            <w:tblPr>
              <w:tblStyle w:val="89"/>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36"/>
              <w:gridCol w:w="3545"/>
              <w:gridCol w:w="2909"/>
              <w:gridCol w:w="771"/>
            </w:tblGrid>
            <w:tr w14:paraId="478ACC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52" w:hRule="atLeast"/>
                <w:jc w:val="center"/>
              </w:trPr>
              <w:tc>
                <w:tcPr>
                  <w:tcW w:w="2598" w:type="pct"/>
                  <w:gridSpan w:val="2"/>
                  <w:tcBorders>
                    <w:tl2br w:val="nil"/>
                    <w:tr2bl w:val="nil"/>
                  </w:tcBorders>
                  <w:shd w:val="clear" w:color="auto" w:fill="auto"/>
                  <w:vAlign w:val="center"/>
                </w:tcPr>
                <w:p w14:paraId="72F1755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技术规程要求</w:t>
                  </w:r>
                </w:p>
              </w:tc>
              <w:tc>
                <w:tcPr>
                  <w:tcW w:w="1898" w:type="pct"/>
                  <w:tcBorders>
                    <w:tl2br w:val="nil"/>
                    <w:tr2bl w:val="nil"/>
                  </w:tcBorders>
                  <w:shd w:val="clear" w:color="auto" w:fill="auto"/>
                  <w:vAlign w:val="center"/>
                </w:tcPr>
                <w:p w14:paraId="1AF19B1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本项目设计</w:t>
                  </w:r>
                </w:p>
              </w:tc>
              <w:tc>
                <w:tcPr>
                  <w:tcW w:w="503" w:type="pct"/>
                  <w:tcBorders>
                    <w:tl2br w:val="nil"/>
                    <w:tr2bl w:val="nil"/>
                  </w:tcBorders>
                  <w:shd w:val="clear" w:color="auto" w:fill="auto"/>
                  <w:vAlign w:val="center"/>
                </w:tcPr>
                <w:p w14:paraId="4675AD7B">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3"/>
                      <w:sz w:val="21"/>
                      <w:szCs w:val="21"/>
                      <w:highlight w:val="none"/>
                      <w14:textFill>
                        <w14:solidFill>
                          <w14:schemeClr w14:val="tx1"/>
                        </w14:solidFill>
                      </w14:textFill>
                    </w:rPr>
                    <w:t>符合</w:t>
                  </w:r>
                  <w:r>
                    <w:rPr>
                      <w:rFonts w:ascii="Times New Roman" w:hAnsi="Times New Roman" w:cs="Times New Roman"/>
                      <w:b/>
                      <w:bCs/>
                      <w:color w:val="000000" w:themeColor="text1"/>
                      <w:spacing w:val="-3"/>
                      <w:sz w:val="21"/>
                      <w:szCs w:val="21"/>
                      <w:highlight w:val="none"/>
                      <w14:textFill>
                        <w14:solidFill>
                          <w14:schemeClr w14:val="tx1"/>
                        </w14:solidFill>
                      </w14:textFill>
                    </w:rPr>
                    <w:t>性</w:t>
                  </w:r>
                </w:p>
              </w:tc>
            </w:tr>
            <w:tr w14:paraId="2873A7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4" w:hRule="atLeast"/>
                <w:jc w:val="center"/>
              </w:trPr>
              <w:tc>
                <w:tcPr>
                  <w:tcW w:w="285" w:type="pct"/>
                  <w:vMerge w:val="restart"/>
                  <w:tcBorders>
                    <w:tl2br w:val="nil"/>
                    <w:tr2bl w:val="nil"/>
                  </w:tcBorders>
                  <w:shd w:val="clear" w:color="auto" w:fill="auto"/>
                  <w:vAlign w:val="center"/>
                </w:tcPr>
                <w:p w14:paraId="396DAFC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厂区</w:t>
                  </w:r>
                  <w:r>
                    <w:rPr>
                      <w:rFonts w:ascii="Times New Roman" w:hAnsi="Times New Roman" w:cs="Times New Roman"/>
                      <w:color w:val="000000" w:themeColor="text1"/>
                      <w:spacing w:val="4"/>
                      <w:sz w:val="21"/>
                      <w:szCs w:val="21"/>
                      <w:highlight w:val="none"/>
                      <w14:textFill>
                        <w14:solidFill>
                          <w14:schemeClr w14:val="tx1"/>
                        </w14:solidFill>
                      </w14:textFill>
                    </w:rPr>
                    <w:t>要求</w:t>
                  </w:r>
                </w:p>
              </w:tc>
              <w:tc>
                <w:tcPr>
                  <w:tcW w:w="2313" w:type="pct"/>
                  <w:tcBorders>
                    <w:tl2br w:val="nil"/>
                    <w:tr2bl w:val="nil"/>
                  </w:tcBorders>
                  <w:shd w:val="clear" w:color="auto" w:fill="auto"/>
                  <w:vAlign w:val="center"/>
                </w:tcPr>
                <w:p w14:paraId="17B3AA1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厂区道路应硬化</w:t>
                  </w:r>
                </w:p>
              </w:tc>
              <w:tc>
                <w:tcPr>
                  <w:tcW w:w="1898" w:type="pct"/>
                  <w:tcBorders>
                    <w:tl2br w:val="nil"/>
                    <w:tr2bl w:val="nil"/>
                  </w:tcBorders>
                  <w:shd w:val="clear" w:color="auto" w:fill="auto"/>
                  <w:vAlign w:val="center"/>
                </w:tcPr>
                <w:p w14:paraId="0BDC65E6">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厂区道路将全部进行硬化</w:t>
                  </w:r>
                </w:p>
              </w:tc>
              <w:tc>
                <w:tcPr>
                  <w:tcW w:w="503" w:type="pct"/>
                  <w:tcBorders>
                    <w:tl2br w:val="nil"/>
                    <w:tr2bl w:val="nil"/>
                  </w:tcBorders>
                  <w:shd w:val="clear" w:color="auto" w:fill="auto"/>
                  <w:vAlign w:val="center"/>
                </w:tcPr>
                <w:p w14:paraId="0A88A316">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w:t>
                  </w:r>
                  <w:r>
                    <w:rPr>
                      <w:rFonts w:ascii="Times New Roman" w:hAnsi="Times New Roman" w:cs="Times New Roman"/>
                      <w:color w:val="000000" w:themeColor="text1"/>
                      <w:sz w:val="21"/>
                      <w:szCs w:val="21"/>
                      <w:highlight w:val="none"/>
                      <w14:textFill>
                        <w14:solidFill>
                          <w14:schemeClr w14:val="tx1"/>
                        </w14:solidFill>
                      </w14:textFill>
                    </w:rPr>
                    <w:t>合</w:t>
                  </w:r>
                </w:p>
              </w:tc>
            </w:tr>
            <w:tr w14:paraId="6D3DCA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37" w:hRule="atLeast"/>
                <w:jc w:val="center"/>
              </w:trPr>
              <w:tc>
                <w:tcPr>
                  <w:tcW w:w="285" w:type="pct"/>
                  <w:vMerge w:val="continue"/>
                  <w:tcBorders>
                    <w:tl2br w:val="nil"/>
                    <w:tr2bl w:val="nil"/>
                  </w:tcBorders>
                  <w:shd w:val="clear" w:color="auto" w:fill="auto"/>
                  <w:vAlign w:val="center"/>
                </w:tcPr>
                <w:p w14:paraId="552DA6B6">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19C6591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厂区内未硬化的空地应进行绿化或采取其他防止扬尘措</w:t>
                  </w:r>
                  <w:r>
                    <w:rPr>
                      <w:rFonts w:ascii="Times New Roman" w:hAnsi="Times New Roman" w:cs="Times New Roman"/>
                      <w:color w:val="000000" w:themeColor="text1"/>
                      <w:spacing w:val="9"/>
                      <w:sz w:val="21"/>
                      <w:szCs w:val="21"/>
                      <w:highlight w:val="none"/>
                      <w14:textFill>
                        <w14:solidFill>
                          <w14:schemeClr w14:val="tx1"/>
                        </w14:solidFill>
                      </w14:textFill>
                    </w:rPr>
                    <w:t>施，且应保持卫生清洁</w:t>
                  </w:r>
                </w:p>
              </w:tc>
              <w:tc>
                <w:tcPr>
                  <w:tcW w:w="1898" w:type="pct"/>
                  <w:tcBorders>
                    <w:tl2br w:val="nil"/>
                    <w:tr2bl w:val="nil"/>
                  </w:tcBorders>
                  <w:shd w:val="clear" w:color="auto" w:fill="auto"/>
                  <w:vAlign w:val="center"/>
                </w:tcPr>
                <w:p w14:paraId="00F8339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厂区未硬化空地将采用</w:t>
                  </w:r>
                  <w:r>
                    <w:rPr>
                      <w:rFonts w:hint="default" w:ascii="Times New Roman" w:hAnsi="Times New Roman" w:cs="Times New Roman"/>
                      <w:color w:val="000000" w:themeColor="text1"/>
                      <w:spacing w:val="9"/>
                      <w:sz w:val="21"/>
                      <w:szCs w:val="21"/>
                      <w:highlight w:val="none"/>
                      <w:lang w:val="en-US" w:eastAsia="zh-CN"/>
                      <w14:textFill>
                        <w14:solidFill>
                          <w14:schemeClr w14:val="tx1"/>
                        </w14:solidFill>
                      </w14:textFill>
                    </w:rPr>
                    <w:t>绿化</w:t>
                  </w:r>
                  <w:r>
                    <w:rPr>
                      <w:rFonts w:ascii="Times New Roman" w:hAnsi="Times New Roman" w:cs="Times New Roman"/>
                      <w:color w:val="000000" w:themeColor="text1"/>
                      <w:spacing w:val="9"/>
                      <w:sz w:val="21"/>
                      <w:szCs w:val="21"/>
                      <w:highlight w:val="none"/>
                      <w14:textFill>
                        <w14:solidFill>
                          <w14:schemeClr w14:val="tx1"/>
                        </w14:solidFill>
                      </w14:textFill>
                    </w:rPr>
                    <w:t>，并定期洒水降</w:t>
                  </w:r>
                  <w:r>
                    <w:rPr>
                      <w:rFonts w:ascii="Times New Roman" w:hAnsi="Times New Roman" w:cs="Times New Roman"/>
                      <w:color w:val="000000" w:themeColor="text1"/>
                      <w:spacing w:val="8"/>
                      <w:sz w:val="21"/>
                      <w:szCs w:val="21"/>
                      <w:highlight w:val="none"/>
                      <w14:textFill>
                        <w14:solidFill>
                          <w14:schemeClr w14:val="tx1"/>
                        </w14:solidFill>
                      </w14:textFill>
                    </w:rPr>
                    <w:t>尘，保持卫生清洁</w:t>
                  </w:r>
                </w:p>
              </w:tc>
              <w:tc>
                <w:tcPr>
                  <w:tcW w:w="503" w:type="pct"/>
                  <w:tcBorders>
                    <w:tl2br w:val="nil"/>
                    <w:tr2bl w:val="nil"/>
                  </w:tcBorders>
                  <w:shd w:val="clear" w:color="auto" w:fill="auto"/>
                  <w:vAlign w:val="center"/>
                </w:tcPr>
                <w:p w14:paraId="26E5A25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65F959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37" w:hRule="atLeast"/>
                <w:jc w:val="center"/>
              </w:trPr>
              <w:tc>
                <w:tcPr>
                  <w:tcW w:w="285" w:type="pct"/>
                  <w:vMerge w:val="continue"/>
                  <w:tcBorders>
                    <w:tl2br w:val="nil"/>
                    <w:tr2bl w:val="nil"/>
                  </w:tcBorders>
                  <w:shd w:val="clear" w:color="auto" w:fill="auto"/>
                  <w:vAlign w:val="center"/>
                </w:tcPr>
                <w:p w14:paraId="20E24FFE">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19E62F7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生产区内应设置生产废弃物</w:t>
                  </w:r>
                  <w:r>
                    <w:rPr>
                      <w:rFonts w:ascii="Times New Roman" w:hAnsi="Times New Roman" w:cs="Times New Roman"/>
                      <w:color w:val="000000" w:themeColor="text1"/>
                      <w:spacing w:val="2"/>
                      <w:sz w:val="21"/>
                      <w:szCs w:val="21"/>
                      <w:highlight w:val="none"/>
                      <w14:textFill>
                        <w14:solidFill>
                          <w14:schemeClr w14:val="tx1"/>
                        </w14:solidFill>
                      </w14:textFill>
                    </w:rPr>
                    <w:t>存放处。生产废弃物应分类存</w:t>
                  </w:r>
                  <w:r>
                    <w:rPr>
                      <w:rFonts w:ascii="Times New Roman" w:hAnsi="Times New Roman" w:cs="Times New Roman"/>
                      <w:color w:val="000000" w:themeColor="text1"/>
                      <w:spacing w:val="8"/>
                      <w:sz w:val="21"/>
                      <w:szCs w:val="21"/>
                      <w:highlight w:val="none"/>
                      <w14:textFill>
                        <w14:solidFill>
                          <w14:schemeClr w14:val="tx1"/>
                        </w14:solidFill>
                      </w14:textFill>
                    </w:rPr>
                    <w:t>放、集中处理</w:t>
                  </w:r>
                </w:p>
              </w:tc>
              <w:tc>
                <w:tcPr>
                  <w:tcW w:w="1898" w:type="pct"/>
                  <w:tcBorders>
                    <w:tl2br w:val="nil"/>
                    <w:tr2bl w:val="nil"/>
                  </w:tcBorders>
                  <w:shd w:val="clear" w:color="auto" w:fill="auto"/>
                  <w:vAlign w:val="center"/>
                </w:tcPr>
                <w:p w14:paraId="3D795CA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生产区内将设置生产废弃物</w:t>
                  </w:r>
                  <w:r>
                    <w:rPr>
                      <w:rFonts w:ascii="Times New Roman" w:hAnsi="Times New Roman" w:cs="Times New Roman"/>
                      <w:color w:val="000000" w:themeColor="text1"/>
                      <w:spacing w:val="9"/>
                      <w:sz w:val="21"/>
                      <w:szCs w:val="21"/>
                      <w:highlight w:val="none"/>
                      <w14:textFill>
                        <w14:solidFill>
                          <w14:schemeClr w14:val="tx1"/>
                        </w14:solidFill>
                      </w14:textFill>
                    </w:rPr>
                    <w:t>存放处，分类存放、集中处</w:t>
                  </w:r>
                  <w:r>
                    <w:rPr>
                      <w:rFonts w:ascii="Times New Roman" w:hAnsi="Times New Roman" w:cs="Times New Roman"/>
                      <w:color w:val="000000" w:themeColor="text1"/>
                      <w:sz w:val="21"/>
                      <w:szCs w:val="21"/>
                      <w:highlight w:val="none"/>
                      <w14:textFill>
                        <w14:solidFill>
                          <w14:schemeClr w14:val="tx1"/>
                        </w14:solidFill>
                      </w14:textFill>
                    </w:rPr>
                    <w:t>理</w:t>
                  </w:r>
                </w:p>
              </w:tc>
              <w:tc>
                <w:tcPr>
                  <w:tcW w:w="503" w:type="pct"/>
                  <w:tcBorders>
                    <w:tl2br w:val="nil"/>
                    <w:tr2bl w:val="nil"/>
                  </w:tcBorders>
                  <w:shd w:val="clear" w:color="auto" w:fill="auto"/>
                  <w:vAlign w:val="center"/>
                </w:tcPr>
                <w:p w14:paraId="11482317">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11F170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4" w:hRule="atLeast"/>
                <w:jc w:val="center"/>
              </w:trPr>
              <w:tc>
                <w:tcPr>
                  <w:tcW w:w="285" w:type="pct"/>
                  <w:vMerge w:val="continue"/>
                  <w:tcBorders>
                    <w:tl2br w:val="nil"/>
                    <w:tr2bl w:val="nil"/>
                  </w:tcBorders>
                  <w:shd w:val="clear" w:color="auto" w:fill="auto"/>
                  <w:vAlign w:val="center"/>
                </w:tcPr>
                <w:p w14:paraId="571C56F9">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403B9EA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厂区内应配备生产废水处置</w:t>
                  </w:r>
                  <w:r>
                    <w:rPr>
                      <w:rFonts w:ascii="Times New Roman" w:hAnsi="Times New Roman" w:cs="Times New Roman"/>
                      <w:color w:val="000000" w:themeColor="text1"/>
                      <w:spacing w:val="1"/>
                      <w:sz w:val="21"/>
                      <w:szCs w:val="21"/>
                      <w:highlight w:val="none"/>
                      <w14:textFill>
                        <w14:solidFill>
                          <w14:schemeClr w14:val="tx1"/>
                        </w14:solidFill>
                      </w14:textFill>
                    </w:rPr>
                    <w:t>系统。宜建立雨水收集系统并</w:t>
                  </w:r>
                  <w:r>
                    <w:rPr>
                      <w:rFonts w:ascii="Times New Roman" w:hAnsi="Times New Roman" w:cs="Times New Roman"/>
                      <w:color w:val="000000" w:themeColor="text1"/>
                      <w:spacing w:val="7"/>
                      <w:sz w:val="21"/>
                      <w:szCs w:val="21"/>
                      <w:highlight w:val="none"/>
                      <w14:textFill>
                        <w14:solidFill>
                          <w14:schemeClr w14:val="tx1"/>
                        </w14:solidFill>
                      </w14:textFill>
                    </w:rPr>
                    <w:t>有效利用</w:t>
                  </w:r>
                </w:p>
              </w:tc>
              <w:tc>
                <w:tcPr>
                  <w:tcW w:w="1898" w:type="pct"/>
                  <w:tcBorders>
                    <w:tl2br w:val="nil"/>
                    <w:tr2bl w:val="nil"/>
                  </w:tcBorders>
                  <w:shd w:val="clear" w:color="auto" w:fill="auto"/>
                  <w:vAlign w:val="center"/>
                </w:tcPr>
                <w:p w14:paraId="608834D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厂区内拟配备三级沉淀池</w:t>
                  </w:r>
                  <w:r>
                    <w:rPr>
                      <w:rFonts w:ascii="Times New Roman" w:hAnsi="Times New Roman" w:cs="Times New Roman"/>
                      <w:color w:val="000000" w:themeColor="text1"/>
                      <w:spacing w:val="9"/>
                      <w:sz w:val="21"/>
                      <w:szCs w:val="21"/>
                      <w:highlight w:val="none"/>
                      <w14:textFill>
                        <w14:solidFill>
                          <w14:schemeClr w14:val="tx1"/>
                        </w14:solidFill>
                      </w14:textFill>
                    </w:rPr>
                    <w:t>，雨水经收集后进入</w:t>
                  </w:r>
                  <w:r>
                    <w:rPr>
                      <w:rFonts w:ascii="Times New Roman" w:hAnsi="Times New Roman" w:cs="Times New Roman"/>
                      <w:color w:val="000000" w:themeColor="text1"/>
                      <w:spacing w:val="7"/>
                      <w:sz w:val="21"/>
                      <w:szCs w:val="21"/>
                      <w:highlight w:val="none"/>
                      <w14:textFill>
                        <w14:solidFill>
                          <w14:schemeClr w14:val="tx1"/>
                        </w14:solidFill>
                      </w14:textFill>
                    </w:rPr>
                    <w:t>沉淀池</w:t>
                  </w:r>
                </w:p>
              </w:tc>
              <w:tc>
                <w:tcPr>
                  <w:tcW w:w="503" w:type="pct"/>
                  <w:tcBorders>
                    <w:tl2br w:val="nil"/>
                    <w:tr2bl w:val="nil"/>
                  </w:tcBorders>
                  <w:shd w:val="clear" w:color="auto" w:fill="auto"/>
                  <w:vAlign w:val="center"/>
                </w:tcPr>
                <w:p w14:paraId="6DCFE14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36D72E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4" w:hRule="atLeast"/>
                <w:jc w:val="center"/>
              </w:trPr>
              <w:tc>
                <w:tcPr>
                  <w:tcW w:w="285" w:type="pct"/>
                  <w:vMerge w:val="restart"/>
                  <w:tcBorders>
                    <w:tl2br w:val="nil"/>
                    <w:tr2bl w:val="nil"/>
                  </w:tcBorders>
                  <w:shd w:val="clear" w:color="auto" w:fill="auto"/>
                  <w:vAlign w:val="center"/>
                </w:tcPr>
                <w:p w14:paraId="61AAA54B">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设施设备</w:t>
                  </w:r>
                </w:p>
              </w:tc>
              <w:tc>
                <w:tcPr>
                  <w:tcW w:w="2313" w:type="pct"/>
                  <w:tcBorders>
                    <w:tl2br w:val="nil"/>
                    <w:tr2bl w:val="nil"/>
                  </w:tcBorders>
                  <w:shd w:val="clear" w:color="auto" w:fill="auto"/>
                  <w:vAlign w:val="center"/>
                </w:tcPr>
                <w:p w14:paraId="29E39A7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384"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搅拌站（楼）应安装除尘装置，</w:t>
                  </w:r>
                  <w:r>
                    <w:rPr>
                      <w:rFonts w:ascii="Times New Roman" w:hAnsi="Times New Roman" w:cs="Times New Roman"/>
                      <w:color w:val="000000" w:themeColor="text1"/>
                      <w:spacing w:val="8"/>
                      <w:sz w:val="21"/>
                      <w:szCs w:val="21"/>
                      <w:highlight w:val="none"/>
                      <w14:textFill>
                        <w14:solidFill>
                          <w14:schemeClr w14:val="tx1"/>
                        </w14:solidFill>
                      </w14:textFill>
                    </w:rPr>
                    <w:t>并应保持正常使用</w:t>
                  </w:r>
                </w:p>
              </w:tc>
              <w:tc>
                <w:tcPr>
                  <w:tcW w:w="1898" w:type="pct"/>
                  <w:tcBorders>
                    <w:tl2br w:val="nil"/>
                    <w:tr2bl w:val="nil"/>
                  </w:tcBorders>
                  <w:shd w:val="clear" w:color="auto" w:fill="auto"/>
                  <w:vAlign w:val="center"/>
                </w:tcPr>
                <w:p w14:paraId="0B9CDC82">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搅拌站拟安装除尘装置，并</w:t>
                  </w:r>
                  <w:r>
                    <w:rPr>
                      <w:rFonts w:ascii="Times New Roman" w:hAnsi="Times New Roman" w:cs="Times New Roman"/>
                      <w:color w:val="000000" w:themeColor="text1"/>
                      <w:spacing w:val="8"/>
                      <w:sz w:val="21"/>
                      <w:szCs w:val="21"/>
                      <w:highlight w:val="none"/>
                      <w14:textFill>
                        <w14:solidFill>
                          <w14:schemeClr w14:val="tx1"/>
                        </w14:solidFill>
                      </w14:textFill>
                    </w:rPr>
                    <w:t>保持正常使用</w:t>
                  </w:r>
                </w:p>
              </w:tc>
              <w:tc>
                <w:tcPr>
                  <w:tcW w:w="503" w:type="pct"/>
                  <w:tcBorders>
                    <w:tl2br w:val="nil"/>
                    <w:tr2bl w:val="nil"/>
                  </w:tcBorders>
                  <w:shd w:val="clear" w:color="auto" w:fill="auto"/>
                  <w:vAlign w:val="center"/>
                </w:tcPr>
                <w:p w14:paraId="7BA72CC6">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178FD6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4" w:hRule="atLeast"/>
                <w:jc w:val="center"/>
              </w:trPr>
              <w:tc>
                <w:tcPr>
                  <w:tcW w:w="285" w:type="pct"/>
                  <w:vMerge w:val="continue"/>
                  <w:tcBorders>
                    <w:tl2br w:val="nil"/>
                    <w:tr2bl w:val="nil"/>
                  </w:tcBorders>
                  <w:shd w:val="clear" w:color="auto" w:fill="auto"/>
                  <w:vAlign w:val="center"/>
                </w:tcPr>
                <w:p w14:paraId="3CA58A1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51051C1A">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搅拌主机卸料口应设置防喷</w:t>
                  </w:r>
                  <w:r>
                    <w:rPr>
                      <w:rFonts w:ascii="Times New Roman" w:hAnsi="Times New Roman" w:cs="Times New Roman"/>
                      <w:color w:val="000000" w:themeColor="text1"/>
                      <w:spacing w:val="7"/>
                      <w:sz w:val="21"/>
                      <w:szCs w:val="21"/>
                      <w:highlight w:val="none"/>
                      <w14:textFill>
                        <w14:solidFill>
                          <w14:schemeClr w14:val="tx1"/>
                        </w14:solidFill>
                      </w14:textFill>
                    </w:rPr>
                    <w:t>溅设施</w:t>
                  </w:r>
                </w:p>
              </w:tc>
              <w:tc>
                <w:tcPr>
                  <w:tcW w:w="1898" w:type="pct"/>
                  <w:tcBorders>
                    <w:tl2br w:val="nil"/>
                    <w:tr2bl w:val="nil"/>
                  </w:tcBorders>
                  <w:shd w:val="clear" w:color="auto" w:fill="auto"/>
                  <w:vAlign w:val="center"/>
                </w:tcPr>
                <w:p w14:paraId="6EDE28C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搅拌主机卸料口拟设置防喷</w:t>
                  </w:r>
                  <w:r>
                    <w:rPr>
                      <w:rFonts w:ascii="Times New Roman" w:hAnsi="Times New Roman" w:cs="Times New Roman"/>
                      <w:color w:val="000000" w:themeColor="text1"/>
                      <w:spacing w:val="7"/>
                      <w:sz w:val="21"/>
                      <w:szCs w:val="21"/>
                      <w:highlight w:val="none"/>
                      <w14:textFill>
                        <w14:solidFill>
                          <w14:schemeClr w14:val="tx1"/>
                        </w14:solidFill>
                      </w14:textFill>
                    </w:rPr>
                    <w:t>溅设置</w:t>
                  </w:r>
                </w:p>
              </w:tc>
              <w:tc>
                <w:tcPr>
                  <w:tcW w:w="503" w:type="pct"/>
                  <w:tcBorders>
                    <w:tl2br w:val="nil"/>
                    <w:tr2bl w:val="nil"/>
                  </w:tcBorders>
                  <w:shd w:val="clear" w:color="auto" w:fill="auto"/>
                  <w:vAlign w:val="center"/>
                </w:tcPr>
                <w:p w14:paraId="1B05DB22">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12E608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222" w:hRule="atLeast"/>
                <w:jc w:val="center"/>
              </w:trPr>
              <w:tc>
                <w:tcPr>
                  <w:tcW w:w="285" w:type="pct"/>
                  <w:vMerge w:val="continue"/>
                  <w:tcBorders>
                    <w:tl2br w:val="nil"/>
                    <w:tr2bl w:val="nil"/>
                  </w:tcBorders>
                  <w:shd w:val="clear" w:color="auto" w:fill="auto"/>
                  <w:vAlign w:val="center"/>
                </w:tcPr>
                <w:p w14:paraId="3E1EAD99">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6F894E6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16" w:firstLineChars="200"/>
                    <w:jc w:val="left"/>
                    <w:textAlignment w:val="auto"/>
                    <w:rPr>
                      <w:rFonts w:ascii="Times New Roman" w:hAnsi="Times New Roman" w:cs="Times New Roman"/>
                      <w:color w:val="000000" w:themeColor="text1"/>
                      <w:spacing w:val="-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骨料堆场应符合下列规定：</w:t>
                  </w:r>
                </w:p>
                <w:p w14:paraId="349AE3BF">
                  <w:pPr>
                    <w:pStyle w:val="107"/>
                    <w:keepNext w:val="0"/>
                    <w:keepLines w:val="0"/>
                    <w:pageBreakBefore w:val="0"/>
                    <w:widowControl w:val="0"/>
                    <w:numPr>
                      <w:ilvl w:val="0"/>
                      <w:numId w:val="3"/>
                    </w:numPr>
                    <w:kinsoku/>
                    <w:wordWrap/>
                    <w:overflowPunct/>
                    <w:topLinePunct w:val="0"/>
                    <w:autoSpaceDE/>
                    <w:autoSpaceDN/>
                    <w:bidi w:val="0"/>
                    <w:adjustRightInd/>
                    <w:snapToGrid/>
                    <w:spacing w:before="157" w:beforeLines="50" w:afterLines="0" w:line="360" w:lineRule="auto"/>
                    <w:ind w:left="0" w:firstLine="440" w:firstLineChars="200"/>
                    <w:jc w:val="left"/>
                    <w:textAlignment w:val="auto"/>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地面应硬化并确保排水通畅；</w:t>
                  </w:r>
                </w:p>
                <w:p w14:paraId="5257BF20">
                  <w:pPr>
                    <w:pStyle w:val="107"/>
                    <w:keepNext w:val="0"/>
                    <w:keepLines w:val="0"/>
                    <w:pageBreakBefore w:val="0"/>
                    <w:widowControl w:val="0"/>
                    <w:numPr>
                      <w:ilvl w:val="0"/>
                      <w:numId w:val="3"/>
                    </w:numPr>
                    <w:kinsoku/>
                    <w:wordWrap/>
                    <w:overflowPunct/>
                    <w:topLinePunct w:val="0"/>
                    <w:autoSpaceDE/>
                    <w:autoSpaceDN/>
                    <w:bidi w:val="0"/>
                    <w:adjustRightInd/>
                    <w:snapToGrid/>
                    <w:spacing w:before="157" w:beforeLines="50" w:afterLines="0" w:line="360" w:lineRule="auto"/>
                    <w:ind w:left="0" w:firstLine="39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粗、细骨料应分隔堆放；</w:t>
                  </w:r>
                </w:p>
                <w:p w14:paraId="64C1AC4F">
                  <w:pPr>
                    <w:pStyle w:val="107"/>
                    <w:keepNext w:val="0"/>
                    <w:keepLines w:val="0"/>
                    <w:pageBreakBefore w:val="0"/>
                    <w:widowControl w:val="0"/>
                    <w:numPr>
                      <w:ilvl w:val="0"/>
                      <w:numId w:val="3"/>
                    </w:numPr>
                    <w:kinsoku/>
                    <w:wordWrap/>
                    <w:overflowPunct/>
                    <w:topLinePunct w:val="0"/>
                    <w:autoSpaceDE/>
                    <w:autoSpaceDN/>
                    <w:bidi w:val="0"/>
                    <w:adjustRightInd/>
                    <w:snapToGrid/>
                    <w:spacing w:before="157" w:beforeLines="50" w:afterLines="0" w:line="360" w:lineRule="auto"/>
                    <w:ind w:lef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骨料堆场宜建成封闭式堆场，</w:t>
                  </w:r>
                  <w:r>
                    <w:rPr>
                      <w:rFonts w:ascii="Times New Roman" w:hAnsi="Times New Roman" w:cs="Times New Roman"/>
                      <w:color w:val="000000" w:themeColor="text1"/>
                      <w:spacing w:val="8"/>
                      <w:sz w:val="21"/>
                      <w:szCs w:val="21"/>
                      <w:highlight w:val="none"/>
                      <w14:textFill>
                        <w14:solidFill>
                          <w14:schemeClr w14:val="tx1"/>
                        </w14:solidFill>
                      </w14:textFill>
                    </w:rPr>
                    <w:t>宜安装喷淋抑尘装置</w:t>
                  </w:r>
                </w:p>
              </w:tc>
              <w:tc>
                <w:tcPr>
                  <w:tcW w:w="1898" w:type="pct"/>
                  <w:tcBorders>
                    <w:tl2br w:val="nil"/>
                    <w:tr2bl w:val="nil"/>
                  </w:tcBorders>
                  <w:shd w:val="clear" w:color="auto" w:fill="auto"/>
                  <w:vAlign w:val="center"/>
                </w:tcPr>
                <w:p w14:paraId="3ADC2B9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本项目</w:t>
                  </w:r>
                  <w:r>
                    <w:rPr>
                      <w:rFonts w:hint="default" w:ascii="Times New Roman" w:hAnsi="Times New Roman" w:cs="Times New Roman"/>
                      <w:color w:val="000000" w:themeColor="text1"/>
                      <w:spacing w:val="7"/>
                      <w:sz w:val="21"/>
                      <w:szCs w:val="21"/>
                      <w:highlight w:val="none"/>
                      <w:lang w:val="en-US" w:eastAsia="zh-CN"/>
                      <w14:textFill>
                        <w14:solidFill>
                          <w14:schemeClr w14:val="tx1"/>
                        </w14:solidFill>
                      </w14:textFill>
                    </w:rPr>
                    <w:t>拟设置密闭堆场</w:t>
                  </w:r>
                  <w:r>
                    <w:rPr>
                      <w:rFonts w:ascii="Times New Roman" w:hAnsi="Times New Roman" w:cs="Times New Roman"/>
                      <w:color w:val="000000" w:themeColor="text1"/>
                      <w:spacing w:val="7"/>
                      <w:sz w:val="21"/>
                      <w:szCs w:val="21"/>
                      <w:highlight w:val="none"/>
                      <w14:textFill>
                        <w14:solidFill>
                          <w14:schemeClr w14:val="tx1"/>
                        </w14:solidFill>
                      </w14:textFill>
                    </w:rPr>
                    <w:t>，其为密闭仓库并设置有喷雾装置。</w:t>
                  </w:r>
                </w:p>
              </w:tc>
              <w:tc>
                <w:tcPr>
                  <w:tcW w:w="503" w:type="pct"/>
                  <w:tcBorders>
                    <w:tl2br w:val="nil"/>
                    <w:tr2bl w:val="nil"/>
                  </w:tcBorders>
                  <w:shd w:val="clear" w:color="auto" w:fill="auto"/>
                  <w:vAlign w:val="center"/>
                </w:tcPr>
                <w:p w14:paraId="38A80053">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71B77D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37" w:hRule="atLeast"/>
                <w:jc w:val="center"/>
              </w:trPr>
              <w:tc>
                <w:tcPr>
                  <w:tcW w:w="285" w:type="pct"/>
                  <w:vMerge w:val="continue"/>
                  <w:tcBorders>
                    <w:tl2br w:val="nil"/>
                    <w:tr2bl w:val="nil"/>
                  </w:tcBorders>
                  <w:shd w:val="clear" w:color="auto" w:fill="auto"/>
                  <w:vAlign w:val="center"/>
                </w:tcPr>
                <w:p w14:paraId="44D7F92B">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4F1F211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预拌混凝土绿色生产应配备</w:t>
                  </w:r>
                  <w:r>
                    <w:rPr>
                      <w:rFonts w:ascii="Times New Roman" w:hAnsi="Times New Roman" w:cs="Times New Roman"/>
                      <w:color w:val="000000" w:themeColor="text1"/>
                      <w:spacing w:val="2"/>
                      <w:sz w:val="21"/>
                      <w:szCs w:val="21"/>
                      <w:highlight w:val="none"/>
                      <w14:textFill>
                        <w14:solidFill>
                          <w14:schemeClr w14:val="tx1"/>
                        </w14:solidFill>
                      </w14:textFill>
                    </w:rPr>
                    <w:t>运输车清洗装置，冲洗产生的</w:t>
                  </w:r>
                  <w:r>
                    <w:rPr>
                      <w:rFonts w:ascii="Times New Roman" w:hAnsi="Times New Roman" w:cs="Times New Roman"/>
                      <w:color w:val="000000" w:themeColor="text1"/>
                      <w:spacing w:val="9"/>
                      <w:sz w:val="21"/>
                      <w:szCs w:val="21"/>
                      <w:highlight w:val="none"/>
                      <w14:textFill>
                        <w14:solidFill>
                          <w14:schemeClr w14:val="tx1"/>
                        </w14:solidFill>
                      </w14:textFill>
                    </w:rPr>
                    <w:t>废水应通过专用管道进入生</w:t>
                  </w:r>
                  <w:r>
                    <w:rPr>
                      <w:rFonts w:ascii="Times New Roman" w:hAnsi="Times New Roman" w:cs="Times New Roman"/>
                      <w:color w:val="000000" w:themeColor="text1"/>
                      <w:spacing w:val="8"/>
                      <w:sz w:val="21"/>
                      <w:szCs w:val="21"/>
                      <w:highlight w:val="none"/>
                      <w14:textFill>
                        <w14:solidFill>
                          <w14:schemeClr w14:val="tx1"/>
                        </w14:solidFill>
                      </w14:textFill>
                    </w:rPr>
                    <w:t>产废水处置系统</w:t>
                  </w:r>
                </w:p>
              </w:tc>
              <w:tc>
                <w:tcPr>
                  <w:tcW w:w="1898" w:type="pct"/>
                  <w:tcBorders>
                    <w:tl2br w:val="nil"/>
                    <w:tr2bl w:val="nil"/>
                  </w:tcBorders>
                  <w:shd w:val="clear" w:color="auto" w:fill="auto"/>
                  <w:vAlign w:val="center"/>
                </w:tcPr>
                <w:p w14:paraId="0355F253">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配备运输车清洗装置，冲洗废水通过专用管道进入生产</w:t>
                  </w:r>
                  <w:r>
                    <w:rPr>
                      <w:rFonts w:ascii="Times New Roman" w:hAnsi="Times New Roman" w:cs="Times New Roman"/>
                      <w:color w:val="000000" w:themeColor="text1"/>
                      <w:spacing w:val="8"/>
                      <w:sz w:val="21"/>
                      <w:szCs w:val="21"/>
                      <w:highlight w:val="none"/>
                      <w14:textFill>
                        <w14:solidFill>
                          <w14:schemeClr w14:val="tx1"/>
                        </w14:solidFill>
                      </w14:textFill>
                    </w:rPr>
                    <w:t>废水处置系统</w:t>
                  </w:r>
                </w:p>
              </w:tc>
              <w:tc>
                <w:tcPr>
                  <w:tcW w:w="503" w:type="pct"/>
                  <w:tcBorders>
                    <w:tl2br w:val="nil"/>
                    <w:tr2bl w:val="nil"/>
                  </w:tcBorders>
                  <w:shd w:val="clear" w:color="auto" w:fill="auto"/>
                  <w:vAlign w:val="center"/>
                </w:tcPr>
                <w:p w14:paraId="4FBD9E03">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21010E4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37" w:hRule="atLeast"/>
                <w:jc w:val="center"/>
              </w:trPr>
              <w:tc>
                <w:tcPr>
                  <w:tcW w:w="285" w:type="pct"/>
                  <w:vMerge w:val="restart"/>
                  <w:tcBorders>
                    <w:tl2br w:val="nil"/>
                    <w:tr2bl w:val="nil"/>
                  </w:tcBorders>
                  <w:shd w:val="clear" w:color="auto" w:fill="auto"/>
                  <w:vAlign w:val="center"/>
                </w:tcPr>
                <w:p w14:paraId="3E9C479D">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控制</w:t>
                  </w:r>
                  <w:r>
                    <w:rPr>
                      <w:rFonts w:ascii="Times New Roman" w:hAnsi="Times New Roman" w:cs="Times New Roman"/>
                      <w:color w:val="000000" w:themeColor="text1"/>
                      <w:spacing w:val="4"/>
                      <w:sz w:val="21"/>
                      <w:szCs w:val="21"/>
                      <w:highlight w:val="none"/>
                      <w14:textFill>
                        <w14:solidFill>
                          <w14:schemeClr w14:val="tx1"/>
                        </w14:solidFill>
                      </w14:textFill>
                    </w:rPr>
                    <w:t>要求</w:t>
                  </w:r>
                </w:p>
              </w:tc>
              <w:tc>
                <w:tcPr>
                  <w:tcW w:w="2313" w:type="pct"/>
                  <w:tcBorders>
                    <w:tl2br w:val="nil"/>
                    <w:tr2bl w:val="nil"/>
                  </w:tcBorders>
                  <w:shd w:val="clear" w:color="auto" w:fill="auto"/>
                  <w:vAlign w:val="center"/>
                </w:tcPr>
                <w:p w14:paraId="20859BE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24"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原材料的运输、装卸和存放应</w:t>
                  </w:r>
                  <w:r>
                    <w:rPr>
                      <w:rFonts w:ascii="Times New Roman" w:hAnsi="Times New Roman" w:cs="Times New Roman"/>
                      <w:color w:val="000000" w:themeColor="text1"/>
                      <w:spacing w:val="9"/>
                      <w:sz w:val="21"/>
                      <w:szCs w:val="21"/>
                      <w:highlight w:val="none"/>
                      <w14:textFill>
                        <w14:solidFill>
                          <w14:schemeClr w14:val="tx1"/>
                        </w14:solidFill>
                      </w14:textFill>
                    </w:rPr>
                    <w:t>采取降低噪声和粉尘的措施</w:t>
                  </w:r>
                </w:p>
              </w:tc>
              <w:tc>
                <w:tcPr>
                  <w:tcW w:w="1898" w:type="pct"/>
                  <w:tcBorders>
                    <w:tl2br w:val="nil"/>
                    <w:tr2bl w:val="nil"/>
                  </w:tcBorders>
                  <w:shd w:val="clear" w:color="auto" w:fill="auto"/>
                  <w:vAlign w:val="center"/>
                </w:tcPr>
                <w:p w14:paraId="1D789E1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9"/>
                      <w:sz w:val="21"/>
                      <w:szCs w:val="21"/>
                      <w:highlight w:val="none"/>
                      <w:lang w:val="en-US" w:eastAsia="zh-CN"/>
                      <w14:textFill>
                        <w14:solidFill>
                          <w14:schemeClr w14:val="tx1"/>
                        </w14:solidFill>
                      </w14:textFill>
                    </w:rPr>
                    <w:t>环评提出</w:t>
                  </w:r>
                  <w:r>
                    <w:rPr>
                      <w:rFonts w:hint="default" w:ascii="Times New Roman" w:hAnsi="Times New Roman" w:cs="Times New Roman"/>
                      <w:color w:val="000000" w:themeColor="text1"/>
                      <w:spacing w:val="9"/>
                      <w:sz w:val="21"/>
                      <w:szCs w:val="21"/>
                      <w:highlight w:val="none"/>
                      <w14:textFill>
                        <w14:solidFill>
                          <w14:schemeClr w14:val="tx1"/>
                        </w14:solidFill>
                      </w14:textFill>
                    </w:rPr>
                    <w:t>原材料的运输、装卸和存放应采取降低噪声和粉尘的措施</w:t>
                  </w:r>
                </w:p>
              </w:tc>
              <w:tc>
                <w:tcPr>
                  <w:tcW w:w="503" w:type="pct"/>
                  <w:tcBorders>
                    <w:tl2br w:val="nil"/>
                    <w:tr2bl w:val="nil"/>
                  </w:tcBorders>
                  <w:shd w:val="clear" w:color="auto" w:fill="auto"/>
                  <w:vAlign w:val="center"/>
                </w:tcPr>
                <w:p w14:paraId="4294E4B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01155C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50" w:hRule="atLeast"/>
                <w:jc w:val="center"/>
              </w:trPr>
              <w:tc>
                <w:tcPr>
                  <w:tcW w:w="285" w:type="pct"/>
                  <w:vMerge w:val="continue"/>
                  <w:tcBorders>
                    <w:tl2br w:val="nil"/>
                    <w:tr2bl w:val="nil"/>
                  </w:tcBorders>
                  <w:shd w:val="clear" w:color="auto" w:fill="auto"/>
                  <w:vAlign w:val="center"/>
                </w:tcPr>
                <w:p w14:paraId="34E3AB4C">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3B754BC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24" w:firstLineChars="200"/>
                    <w:jc w:val="left"/>
                    <w:textAlignment w:val="auto"/>
                    <w:rPr>
                      <w:rFonts w:ascii="Times New Roman" w:hAnsi="Times New Roman" w:cs="Times New Roman"/>
                      <w:color w:val="000000" w:themeColor="text1"/>
                      <w:spacing w:val="-4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生产废水和废浆（部分要求</w:t>
                  </w:r>
                  <w:r>
                    <w:rPr>
                      <w:rFonts w:ascii="Times New Roman" w:hAnsi="Times New Roman" w:cs="Times New Roman"/>
                      <w:color w:val="000000" w:themeColor="text1"/>
                      <w:spacing w:val="-41"/>
                      <w:sz w:val="21"/>
                      <w:szCs w:val="21"/>
                      <w:highlight w:val="none"/>
                      <w14:textFill>
                        <w14:solidFill>
                          <w14:schemeClr w14:val="tx1"/>
                        </w14:solidFill>
                      </w14:textFill>
                    </w:rPr>
                    <w:t>）：</w:t>
                  </w:r>
                </w:p>
                <w:p w14:paraId="27B1324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3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w:t>
                  </w:r>
                  <w:r>
                    <w:rPr>
                      <w:rFonts w:ascii="Times New Roman" w:hAnsi="Times New Roman" w:cs="Times New Roman"/>
                      <w:color w:val="000000" w:themeColor="text1"/>
                      <w:spacing w:val="4"/>
                      <w:sz w:val="21"/>
                      <w:szCs w:val="21"/>
                      <w:highlight w:val="none"/>
                      <w14:textFill>
                        <w14:solidFill>
                          <w14:schemeClr w14:val="tx1"/>
                        </w14:solidFill>
                      </w14:textFill>
                    </w:rPr>
                    <w:t>、预拌混凝土绿色生产应配</w:t>
                  </w:r>
                  <w:r>
                    <w:rPr>
                      <w:rFonts w:ascii="Times New Roman" w:hAnsi="Times New Roman" w:cs="Times New Roman"/>
                      <w:color w:val="000000" w:themeColor="text1"/>
                      <w:spacing w:val="5"/>
                      <w:sz w:val="21"/>
                      <w:szCs w:val="21"/>
                      <w:highlight w:val="none"/>
                      <w14:textFill>
                        <w14:solidFill>
                          <w14:schemeClr w14:val="tx1"/>
                        </w14:solidFill>
                      </w14:textFill>
                    </w:rPr>
                    <w:t>备完善的生产废水处置系统；</w:t>
                  </w: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2</w:t>
                  </w:r>
                  <w:r>
                    <w:rPr>
                      <w:rFonts w:ascii="Times New Roman" w:hAnsi="Times New Roman" w:cs="Times New Roman"/>
                      <w:color w:val="000000" w:themeColor="text1"/>
                      <w:spacing w:val="4"/>
                      <w:sz w:val="21"/>
                      <w:szCs w:val="21"/>
                      <w:highlight w:val="none"/>
                      <w14:textFill>
                        <w14:solidFill>
                          <w14:schemeClr w14:val="tx1"/>
                        </w14:solidFill>
                      </w14:textFill>
                    </w:rPr>
                    <w:t>、废浆用于预拌混凝土生产</w:t>
                  </w:r>
                  <w:r>
                    <w:rPr>
                      <w:rFonts w:ascii="Times New Roman" w:hAnsi="Times New Roman" w:cs="Times New Roman"/>
                      <w:color w:val="000000" w:themeColor="text1"/>
                      <w:spacing w:val="5"/>
                      <w:sz w:val="21"/>
                      <w:szCs w:val="21"/>
                      <w:highlight w:val="none"/>
                      <w14:textFill>
                        <w14:solidFill>
                          <w14:schemeClr w14:val="tx1"/>
                        </w14:solidFill>
                      </w14:textFill>
                    </w:rPr>
                    <w:t>时，应符合相关要求规定；</w:t>
                  </w:r>
                  <w:r>
                    <w:rPr>
                      <w:rFonts w:ascii="Times New Roman" w:hAnsi="Times New Roman" w:eastAsia="Times New Roman" w:cs="Times New Roman"/>
                      <w:color w:val="000000" w:themeColor="text1"/>
                      <w:spacing w:val="6"/>
                      <w:sz w:val="21"/>
                      <w:szCs w:val="21"/>
                      <w:highlight w:val="none"/>
                      <w14:textFill>
                        <w14:solidFill>
                          <w14:schemeClr w14:val="tx1"/>
                        </w14:solidFill>
                      </w14:textFill>
                    </w:rPr>
                    <w:t>3</w:t>
                  </w:r>
                  <w:r>
                    <w:rPr>
                      <w:rFonts w:ascii="Times New Roman" w:hAnsi="Times New Roman" w:cs="Times New Roman"/>
                      <w:color w:val="000000" w:themeColor="text1"/>
                      <w:spacing w:val="6"/>
                      <w:sz w:val="21"/>
                      <w:szCs w:val="21"/>
                      <w:highlight w:val="none"/>
                      <w14:textFill>
                        <w14:solidFill>
                          <w14:schemeClr w14:val="tx1"/>
                        </w14:solidFill>
                      </w14:textFill>
                    </w:rPr>
                    <w:t>、生产废水也可用于硬化地</w:t>
                  </w:r>
                  <w:r>
                    <w:rPr>
                      <w:rFonts w:ascii="Times New Roman" w:hAnsi="Times New Roman" w:cs="Times New Roman"/>
                      <w:color w:val="000000" w:themeColor="text1"/>
                      <w:spacing w:val="8"/>
                      <w:sz w:val="21"/>
                      <w:szCs w:val="21"/>
                      <w:highlight w:val="none"/>
                      <w14:textFill>
                        <w14:solidFill>
                          <w14:schemeClr w14:val="tx1"/>
                        </w14:solidFill>
                      </w14:textFill>
                    </w:rPr>
                    <w:t>面降尘和生产设备冲洗</w:t>
                  </w:r>
                </w:p>
              </w:tc>
              <w:tc>
                <w:tcPr>
                  <w:tcW w:w="1898" w:type="pct"/>
                  <w:tcBorders>
                    <w:tl2br w:val="nil"/>
                    <w:tr2bl w:val="nil"/>
                  </w:tcBorders>
                  <w:shd w:val="clear" w:color="auto" w:fill="auto"/>
                  <w:vAlign w:val="center"/>
                </w:tcPr>
                <w:p w14:paraId="6DBC2B3D">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48"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生产废水和废浆：</w:t>
                  </w:r>
                </w:p>
                <w:p w14:paraId="02A9C4C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w:t>
                  </w:r>
                  <w:r>
                    <w:rPr>
                      <w:rFonts w:ascii="Times New Roman" w:hAnsi="Times New Roman" w:cs="Times New Roman"/>
                      <w:color w:val="000000" w:themeColor="text1"/>
                      <w:spacing w:val="5"/>
                      <w:sz w:val="21"/>
                      <w:szCs w:val="21"/>
                      <w:highlight w:val="none"/>
                      <w14:textFill>
                        <w14:solidFill>
                          <w14:schemeClr w14:val="tx1"/>
                        </w14:solidFill>
                      </w14:textFill>
                    </w:rPr>
                    <w:t>、配套完善的生产废水处置</w:t>
                  </w:r>
                  <w:r>
                    <w:rPr>
                      <w:rFonts w:ascii="Times New Roman" w:hAnsi="Times New Roman" w:cs="Times New Roman"/>
                      <w:color w:val="000000" w:themeColor="text1"/>
                      <w:spacing w:val="9"/>
                      <w:sz w:val="21"/>
                      <w:szCs w:val="21"/>
                      <w:highlight w:val="none"/>
                      <w14:textFill>
                        <w14:solidFill>
                          <w14:schemeClr w14:val="tx1"/>
                        </w14:solidFill>
                      </w14:textFill>
                    </w:rPr>
                    <w:t>系统，设置有三级沉淀池</w:t>
                  </w:r>
                  <w:r>
                    <w:rPr>
                      <w:rFonts w:ascii="Times New Roman" w:hAnsi="Times New Roman" w:cs="Times New Roman"/>
                      <w:color w:val="000000" w:themeColor="text1"/>
                      <w:spacing w:val="4"/>
                      <w:sz w:val="21"/>
                      <w:szCs w:val="21"/>
                      <w:highlight w:val="none"/>
                      <w14:textFill>
                        <w14:solidFill>
                          <w14:schemeClr w14:val="tx1"/>
                        </w14:solidFill>
                      </w14:textFill>
                    </w:rPr>
                    <w:t>；</w:t>
                  </w: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2</w:t>
                  </w:r>
                  <w:r>
                    <w:rPr>
                      <w:rFonts w:ascii="Times New Roman" w:hAnsi="Times New Roman" w:cs="Times New Roman"/>
                      <w:color w:val="000000" w:themeColor="text1"/>
                      <w:spacing w:val="7"/>
                      <w:sz w:val="21"/>
                      <w:szCs w:val="21"/>
                      <w:highlight w:val="none"/>
                      <w14:textFill>
                        <w14:solidFill>
                          <w14:schemeClr w14:val="tx1"/>
                        </w14:solidFill>
                      </w14:textFill>
                    </w:rPr>
                    <w:t>、废浆用于预拌混凝土生</w:t>
                  </w:r>
                  <w:r>
                    <w:rPr>
                      <w:rFonts w:ascii="Times New Roman" w:hAnsi="Times New Roman" w:cs="Times New Roman"/>
                      <w:color w:val="000000" w:themeColor="text1"/>
                      <w:spacing w:val="9"/>
                      <w:sz w:val="21"/>
                      <w:szCs w:val="21"/>
                      <w:highlight w:val="none"/>
                      <w14:textFill>
                        <w14:solidFill>
                          <w14:schemeClr w14:val="tx1"/>
                        </w14:solidFill>
                      </w14:textFill>
                    </w:rPr>
                    <w:t>产，按照该技术规程要求对废浆进行测试后合理安排掺</w:t>
                  </w:r>
                  <w:r>
                    <w:rPr>
                      <w:rFonts w:ascii="Times New Roman" w:hAnsi="Times New Roman" w:cs="Times New Roman"/>
                      <w:color w:val="000000" w:themeColor="text1"/>
                      <w:spacing w:val="5"/>
                      <w:sz w:val="21"/>
                      <w:szCs w:val="21"/>
                      <w:highlight w:val="none"/>
                      <w14:textFill>
                        <w14:solidFill>
                          <w14:schemeClr w14:val="tx1"/>
                        </w14:solidFill>
                      </w14:textFill>
                    </w:rPr>
                    <w:t>混比例；</w:t>
                  </w:r>
                  <w:r>
                    <w:rPr>
                      <w:rFonts w:ascii="Times New Roman" w:hAnsi="Times New Roman" w:eastAsia="Times New Roman" w:cs="Times New Roman"/>
                      <w:color w:val="000000" w:themeColor="text1"/>
                      <w:spacing w:val="6"/>
                      <w:sz w:val="21"/>
                      <w:szCs w:val="21"/>
                      <w:highlight w:val="none"/>
                      <w14:textFill>
                        <w14:solidFill>
                          <w14:schemeClr w14:val="tx1"/>
                        </w14:solidFill>
                      </w14:textFill>
                    </w:rPr>
                    <w:t>3</w:t>
                  </w:r>
                  <w:r>
                    <w:rPr>
                      <w:rFonts w:ascii="Times New Roman" w:hAnsi="Times New Roman" w:cs="Times New Roman"/>
                      <w:color w:val="000000" w:themeColor="text1"/>
                      <w:spacing w:val="6"/>
                      <w:sz w:val="21"/>
                      <w:szCs w:val="21"/>
                      <w:highlight w:val="none"/>
                      <w14:textFill>
                        <w14:solidFill>
                          <w14:schemeClr w14:val="tx1"/>
                        </w14:solidFill>
                      </w14:textFill>
                    </w:rPr>
                    <w:t>、生产废水用于硬化地面降</w:t>
                  </w:r>
                  <w:r>
                    <w:rPr>
                      <w:rFonts w:ascii="Times New Roman" w:hAnsi="Times New Roman" w:cs="Times New Roman"/>
                      <w:color w:val="000000" w:themeColor="text1"/>
                      <w:spacing w:val="8"/>
                      <w:sz w:val="21"/>
                      <w:szCs w:val="21"/>
                      <w:highlight w:val="none"/>
                      <w14:textFill>
                        <w14:solidFill>
                          <w14:schemeClr w14:val="tx1"/>
                        </w14:solidFill>
                      </w14:textFill>
                    </w:rPr>
                    <w:t>尘和生产设备冲洗</w:t>
                  </w:r>
                </w:p>
              </w:tc>
              <w:tc>
                <w:tcPr>
                  <w:tcW w:w="503" w:type="pct"/>
                  <w:tcBorders>
                    <w:tl2br w:val="nil"/>
                    <w:tr2bl w:val="nil"/>
                  </w:tcBorders>
                  <w:shd w:val="clear" w:color="auto" w:fill="auto"/>
                  <w:vAlign w:val="center"/>
                </w:tcPr>
                <w:p w14:paraId="42660F8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1EA6DD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4" w:hRule="atLeast"/>
                <w:jc w:val="center"/>
              </w:trPr>
              <w:tc>
                <w:tcPr>
                  <w:tcW w:w="285" w:type="pct"/>
                  <w:vMerge w:val="continue"/>
                  <w:tcBorders>
                    <w:tl2br w:val="nil"/>
                    <w:tr2bl w:val="nil"/>
                  </w:tcBorders>
                  <w:shd w:val="clear" w:color="auto" w:fill="auto"/>
                  <w:vAlign w:val="center"/>
                </w:tcPr>
                <w:p w14:paraId="4D37629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7F42A30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44" w:firstLineChars="200"/>
                    <w:jc w:val="left"/>
                    <w:textAlignment w:val="auto"/>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废弃混凝土：</w:t>
                  </w:r>
                </w:p>
                <w:p w14:paraId="7DF599FC">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w:t>
                  </w:r>
                  <w:r>
                    <w:rPr>
                      <w:rFonts w:ascii="Times New Roman" w:hAnsi="Times New Roman" w:cs="Times New Roman"/>
                      <w:color w:val="000000" w:themeColor="text1"/>
                      <w:spacing w:val="5"/>
                      <w:sz w:val="21"/>
                      <w:szCs w:val="21"/>
                      <w:highlight w:val="none"/>
                      <w14:textFill>
                        <w14:solidFill>
                          <w14:schemeClr w14:val="tx1"/>
                        </w14:solidFill>
                      </w14:textFill>
                    </w:rPr>
                    <w:t>、废弃新拌混凝土可用于成</w:t>
                  </w:r>
                  <w:r>
                    <w:rPr>
                      <w:rFonts w:ascii="Times New Roman" w:hAnsi="Times New Roman" w:cs="Times New Roman"/>
                      <w:color w:val="000000" w:themeColor="text1"/>
                      <w:spacing w:val="2"/>
                      <w:sz w:val="21"/>
                      <w:szCs w:val="21"/>
                      <w:highlight w:val="none"/>
                      <w14:textFill>
                        <w14:solidFill>
                          <w14:schemeClr w14:val="tx1"/>
                        </w14:solidFill>
                      </w14:textFill>
                    </w:rPr>
                    <w:t>型小型预制构件，也可采用砂石分离机进行处置。分离后的</w:t>
                  </w:r>
                  <w:r>
                    <w:rPr>
                      <w:rFonts w:ascii="Times New Roman" w:hAnsi="Times New Roman" w:cs="Times New Roman"/>
                      <w:color w:val="000000" w:themeColor="text1"/>
                      <w:spacing w:val="6"/>
                      <w:sz w:val="21"/>
                      <w:szCs w:val="21"/>
                      <w:highlight w:val="none"/>
                      <w14:textFill>
                        <w14:solidFill>
                          <w14:schemeClr w14:val="tx1"/>
                        </w14:solidFill>
                      </w14:textFill>
                    </w:rPr>
                    <w:t>砂石应及时清理、分类使用。</w:t>
                  </w: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2</w:t>
                  </w:r>
                  <w:r>
                    <w:rPr>
                      <w:rFonts w:ascii="Times New Roman" w:hAnsi="Times New Roman" w:cs="Times New Roman"/>
                      <w:color w:val="000000" w:themeColor="text1"/>
                      <w:spacing w:val="7"/>
                      <w:sz w:val="21"/>
                      <w:szCs w:val="21"/>
                      <w:highlight w:val="none"/>
                      <w14:textFill>
                        <w14:solidFill>
                          <w14:schemeClr w14:val="tx1"/>
                        </w14:solidFill>
                      </w14:textFill>
                    </w:rPr>
                    <w:t>、废弃硬化混凝土可生产再</w:t>
                  </w:r>
                  <w:r>
                    <w:rPr>
                      <w:rFonts w:ascii="Times New Roman" w:hAnsi="Times New Roman" w:cs="Times New Roman"/>
                      <w:color w:val="000000" w:themeColor="text1"/>
                      <w:spacing w:val="9"/>
                      <w:sz w:val="21"/>
                      <w:szCs w:val="21"/>
                      <w:highlight w:val="none"/>
                      <w14:textFill>
                        <w14:solidFill>
                          <w14:schemeClr w14:val="tx1"/>
                        </w14:solidFill>
                      </w14:textFill>
                    </w:rPr>
                    <w:t>生骨料和粉料由预拌混凝土</w:t>
                  </w:r>
                  <w:r>
                    <w:rPr>
                      <w:rFonts w:ascii="Times New Roman" w:hAnsi="Times New Roman" w:cs="Times New Roman"/>
                      <w:color w:val="000000" w:themeColor="text1"/>
                      <w:spacing w:val="2"/>
                      <w:sz w:val="21"/>
                      <w:szCs w:val="21"/>
                      <w:highlight w:val="none"/>
                      <w14:textFill>
                        <w14:solidFill>
                          <w14:schemeClr w14:val="tx1"/>
                        </w14:solidFill>
                      </w14:textFill>
                    </w:rPr>
                    <w:t>生产企业消纳利用，也可由其</w:t>
                  </w:r>
                  <w:r>
                    <w:rPr>
                      <w:rFonts w:ascii="Times New Roman" w:hAnsi="Times New Roman" w:cs="Times New Roman"/>
                      <w:color w:val="000000" w:themeColor="text1"/>
                      <w:spacing w:val="9"/>
                      <w:sz w:val="21"/>
                      <w:szCs w:val="21"/>
                      <w:highlight w:val="none"/>
                      <w14:textFill>
                        <w14:solidFill>
                          <w14:schemeClr w14:val="tx1"/>
                        </w14:solidFill>
                      </w14:textFill>
                    </w:rPr>
                    <w:t>他固体废弃物再生利用机构</w:t>
                  </w:r>
                  <w:r>
                    <w:rPr>
                      <w:rFonts w:ascii="Times New Roman" w:hAnsi="Times New Roman" w:cs="Times New Roman"/>
                      <w:color w:val="000000" w:themeColor="text1"/>
                      <w:spacing w:val="8"/>
                      <w:sz w:val="21"/>
                      <w:szCs w:val="21"/>
                      <w:highlight w:val="none"/>
                      <w14:textFill>
                        <w14:solidFill>
                          <w14:schemeClr w14:val="tx1"/>
                        </w14:solidFill>
                      </w14:textFill>
                    </w:rPr>
                    <w:t>消纳利用</w:t>
                  </w:r>
                </w:p>
              </w:tc>
              <w:tc>
                <w:tcPr>
                  <w:tcW w:w="1898" w:type="pct"/>
                  <w:tcBorders>
                    <w:tl2br w:val="nil"/>
                    <w:tr2bl w:val="nil"/>
                  </w:tcBorders>
                  <w:shd w:val="clear" w:color="auto" w:fill="auto"/>
                  <w:vAlign w:val="center"/>
                </w:tcPr>
                <w:p w14:paraId="54CDB93A">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w:t>
                  </w:r>
                  <w:r>
                    <w:rPr>
                      <w:rFonts w:ascii="Times New Roman" w:hAnsi="Times New Roman" w:cs="Times New Roman"/>
                      <w:color w:val="000000" w:themeColor="text1"/>
                      <w:spacing w:val="5"/>
                      <w:sz w:val="21"/>
                      <w:szCs w:val="21"/>
                      <w:highlight w:val="none"/>
                      <w14:textFill>
                        <w14:solidFill>
                          <w14:schemeClr w14:val="tx1"/>
                        </w14:solidFill>
                      </w14:textFill>
                    </w:rPr>
                    <w:t>、本项目</w:t>
                  </w:r>
                  <w:r>
                    <w:rPr>
                      <w:rFonts w:hint="default" w:ascii="Times New Roman" w:hAnsi="Times New Roman" w:cs="Times New Roman"/>
                      <w:color w:val="000000" w:themeColor="text1"/>
                      <w:spacing w:val="5"/>
                      <w:sz w:val="21"/>
                      <w:szCs w:val="21"/>
                      <w:highlight w:val="none"/>
                      <w14:textFill>
                        <w14:solidFill>
                          <w14:schemeClr w14:val="tx1"/>
                        </w14:solidFill>
                      </w14:textFill>
                    </w:rPr>
                    <w:t>混凝土废料</w:t>
                  </w:r>
                  <w:r>
                    <w:rPr>
                      <w:rFonts w:hint="eastAsia" w:ascii="Times New Roman" w:hAnsi="Times New Roman" w:cs="Times New Roman"/>
                      <w:color w:val="000000" w:themeColor="text1"/>
                      <w:spacing w:val="5"/>
                      <w:sz w:val="21"/>
                      <w:szCs w:val="21"/>
                      <w:highlight w:val="none"/>
                      <w14:textFill>
                        <w14:solidFill>
                          <w14:schemeClr w14:val="tx1"/>
                        </w14:solidFill>
                      </w14:textFill>
                    </w:rPr>
                    <w:t>外售建材厂综合利用</w:t>
                  </w:r>
                </w:p>
              </w:tc>
              <w:tc>
                <w:tcPr>
                  <w:tcW w:w="503" w:type="pct"/>
                  <w:tcBorders>
                    <w:tl2br w:val="nil"/>
                    <w:tr2bl w:val="nil"/>
                  </w:tcBorders>
                  <w:shd w:val="clear" w:color="auto" w:fill="auto"/>
                  <w:vAlign w:val="center"/>
                </w:tcPr>
                <w:p w14:paraId="6D681A6D">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16E51B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708" w:hRule="atLeast"/>
                <w:jc w:val="center"/>
              </w:trPr>
              <w:tc>
                <w:tcPr>
                  <w:tcW w:w="285" w:type="pct"/>
                  <w:vMerge w:val="continue"/>
                  <w:tcBorders>
                    <w:tl2br w:val="nil"/>
                    <w:tr2bl w:val="nil"/>
                  </w:tcBorders>
                  <w:shd w:val="clear" w:color="auto" w:fill="auto"/>
                  <w:vAlign w:val="center"/>
                </w:tcPr>
                <w:p w14:paraId="767AC9BD">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36D3E26B">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1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噪声：</w:t>
                  </w:r>
                </w:p>
                <w:p w14:paraId="0276553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w:t>
                  </w:r>
                  <w:r>
                    <w:rPr>
                      <w:rFonts w:ascii="Times New Roman" w:hAnsi="Times New Roman" w:cs="Times New Roman"/>
                      <w:color w:val="000000" w:themeColor="text1"/>
                      <w:spacing w:val="5"/>
                      <w:sz w:val="21"/>
                      <w:szCs w:val="21"/>
                      <w:highlight w:val="none"/>
                      <w14:textFill>
                        <w14:solidFill>
                          <w14:schemeClr w14:val="tx1"/>
                        </w14:solidFill>
                      </w14:textFill>
                    </w:rPr>
                    <w:t>、预拌混凝土绿色生产应满</w:t>
                  </w:r>
                  <w:r>
                    <w:rPr>
                      <w:rFonts w:ascii="Times New Roman" w:hAnsi="Times New Roman" w:cs="Times New Roman"/>
                      <w:color w:val="000000" w:themeColor="text1"/>
                      <w:spacing w:val="2"/>
                      <w:sz w:val="21"/>
                      <w:szCs w:val="21"/>
                      <w:highlight w:val="none"/>
                      <w14:textFill>
                        <w14:solidFill>
                          <w14:schemeClr w14:val="tx1"/>
                        </w14:solidFill>
                      </w14:textFill>
                    </w:rPr>
                    <w:t>足《工业企业厂界环境噪声排</w:t>
                  </w:r>
                  <w:r>
                    <w:rPr>
                      <w:rFonts w:ascii="Times New Roman" w:hAnsi="Times New Roman" w:cs="Times New Roman"/>
                      <w:color w:val="000000" w:themeColor="text1"/>
                      <w:spacing w:val="5"/>
                      <w:sz w:val="21"/>
                      <w:szCs w:val="21"/>
                      <w:highlight w:val="none"/>
                      <w14:textFill>
                        <w14:solidFill>
                          <w14:schemeClr w14:val="tx1"/>
                        </w14:solidFill>
                      </w14:textFill>
                    </w:rPr>
                    <w:t>放标准》</w:t>
                  </w:r>
                  <w:r>
                    <w:rPr>
                      <w:rFonts w:ascii="Times New Roman" w:hAnsi="Times New Roman" w:eastAsia="Times New Roman" w:cs="Times New Roman"/>
                      <w:color w:val="000000" w:themeColor="text1"/>
                      <w:sz w:val="21"/>
                      <w:szCs w:val="21"/>
                      <w:highlight w:val="none"/>
                      <w14:textFill>
                        <w14:solidFill>
                          <w14:schemeClr w14:val="tx1"/>
                        </w14:solidFill>
                      </w14:textFill>
                    </w:rPr>
                    <w:t>GB</w:t>
                  </w: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12348</w:t>
                  </w:r>
                  <w:r>
                    <w:rPr>
                      <w:rFonts w:ascii="Times New Roman" w:hAnsi="Times New Roman" w:cs="Times New Roman"/>
                      <w:color w:val="000000" w:themeColor="text1"/>
                      <w:spacing w:val="5"/>
                      <w:sz w:val="21"/>
                      <w:szCs w:val="21"/>
                      <w:highlight w:val="none"/>
                      <w14:textFill>
                        <w14:solidFill>
                          <w14:schemeClr w14:val="tx1"/>
                        </w14:solidFill>
                      </w14:textFill>
                    </w:rPr>
                    <w:t>的规定；</w:t>
                  </w:r>
                </w:p>
                <w:p w14:paraId="69F33FC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8"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2</w:t>
                  </w:r>
                  <w:r>
                    <w:rPr>
                      <w:rFonts w:ascii="Times New Roman" w:hAnsi="Times New Roman" w:cs="Times New Roman"/>
                      <w:color w:val="000000" w:themeColor="text1"/>
                      <w:spacing w:val="7"/>
                      <w:sz w:val="21"/>
                      <w:szCs w:val="21"/>
                      <w:highlight w:val="none"/>
                      <w14:textFill>
                        <w14:solidFill>
                          <w14:schemeClr w14:val="tx1"/>
                        </w14:solidFill>
                      </w14:textFill>
                    </w:rPr>
                    <w:t>、对产生噪声的主要设备设</w:t>
                  </w:r>
                  <w:r>
                    <w:rPr>
                      <w:rFonts w:ascii="Times New Roman" w:hAnsi="Times New Roman" w:cs="Times New Roman"/>
                      <w:color w:val="000000" w:themeColor="text1"/>
                      <w:spacing w:val="8"/>
                      <w:sz w:val="21"/>
                      <w:szCs w:val="21"/>
                      <w:highlight w:val="none"/>
                      <w14:textFill>
                        <w14:solidFill>
                          <w14:schemeClr w14:val="tx1"/>
                        </w14:solidFill>
                      </w14:textFill>
                    </w:rPr>
                    <w:t>施应进行降噪处理</w:t>
                  </w:r>
                </w:p>
              </w:tc>
              <w:tc>
                <w:tcPr>
                  <w:tcW w:w="1898" w:type="pct"/>
                  <w:tcBorders>
                    <w:tl2br w:val="nil"/>
                    <w:tr2bl w:val="nil"/>
                  </w:tcBorders>
                  <w:shd w:val="clear" w:color="auto" w:fill="auto"/>
                  <w:vAlign w:val="center"/>
                </w:tcPr>
                <w:p w14:paraId="60671A7C">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4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w:t>
                  </w:r>
                  <w:r>
                    <w:rPr>
                      <w:rFonts w:ascii="Times New Roman" w:hAnsi="Times New Roman" w:cs="Times New Roman"/>
                      <w:color w:val="000000" w:themeColor="text1"/>
                      <w:spacing w:val="5"/>
                      <w:sz w:val="21"/>
                      <w:szCs w:val="21"/>
                      <w:highlight w:val="none"/>
                      <w14:textFill>
                        <w14:solidFill>
                          <w14:schemeClr w14:val="tx1"/>
                        </w14:solidFill>
                      </w14:textFill>
                    </w:rPr>
                    <w:t>、本项目厂界处噪声满足</w:t>
                  </w:r>
                  <w:r>
                    <w:rPr>
                      <w:rFonts w:ascii="Times New Roman" w:hAnsi="Times New Roman" w:cs="Times New Roman"/>
                      <w:color w:val="000000" w:themeColor="text1"/>
                      <w:spacing w:val="11"/>
                      <w:sz w:val="21"/>
                      <w:szCs w:val="21"/>
                      <w:highlight w:val="none"/>
                      <w14:textFill>
                        <w14:solidFill>
                          <w14:schemeClr w14:val="tx1"/>
                        </w14:solidFill>
                      </w14:textFill>
                    </w:rPr>
                    <w:t>《工业企业厂界环境噪声排</w:t>
                  </w:r>
                  <w:r>
                    <w:rPr>
                      <w:rFonts w:ascii="Times New Roman" w:hAnsi="Times New Roman" w:cs="Times New Roman"/>
                      <w:color w:val="000000" w:themeColor="text1"/>
                      <w:spacing w:val="5"/>
                      <w:sz w:val="21"/>
                      <w:szCs w:val="21"/>
                      <w:highlight w:val="none"/>
                      <w14:textFill>
                        <w14:solidFill>
                          <w14:schemeClr w14:val="tx1"/>
                        </w14:solidFill>
                      </w14:textFill>
                    </w:rPr>
                    <w:t>放标准》（</w:t>
                  </w:r>
                  <w:r>
                    <w:rPr>
                      <w:rFonts w:ascii="Times New Roman" w:hAnsi="Times New Roman" w:eastAsia="Times New Roman" w:cs="Times New Roman"/>
                      <w:color w:val="000000" w:themeColor="text1"/>
                      <w:sz w:val="21"/>
                      <w:szCs w:val="21"/>
                      <w:highlight w:val="none"/>
                      <w14:textFill>
                        <w14:solidFill>
                          <w14:schemeClr w14:val="tx1"/>
                        </w14:solidFill>
                      </w14:textFill>
                    </w:rPr>
                    <w:t>GB</w:t>
                  </w: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12348-2008</w:t>
                  </w:r>
                  <w:r>
                    <w:rPr>
                      <w:rFonts w:ascii="Times New Roman" w:hAnsi="Times New Roman" w:cs="Times New Roman"/>
                      <w:color w:val="000000" w:themeColor="text1"/>
                      <w:spacing w:val="5"/>
                      <w:sz w:val="21"/>
                      <w:szCs w:val="21"/>
                      <w:highlight w:val="none"/>
                      <w14:textFill>
                        <w14:solidFill>
                          <w14:schemeClr w14:val="tx1"/>
                        </w14:solidFill>
                      </w14:textFill>
                    </w:rPr>
                    <w:t>）</w:t>
                  </w:r>
                  <w:r>
                    <w:rPr>
                      <w:rFonts w:ascii="Times New Roman" w:hAnsi="Times New Roman" w:cs="Times New Roman"/>
                      <w:color w:val="000000" w:themeColor="text1"/>
                      <w:spacing w:val="2"/>
                      <w:sz w:val="21"/>
                      <w:szCs w:val="21"/>
                      <w:highlight w:val="none"/>
                      <w14:textFill>
                        <w14:solidFill>
                          <w14:schemeClr w14:val="tx1"/>
                        </w14:solidFill>
                      </w14:textFill>
                    </w:rPr>
                    <w:t>要求；</w:t>
                  </w:r>
                </w:p>
                <w:p w14:paraId="29FA860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4"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6"/>
                      <w:sz w:val="21"/>
                      <w:szCs w:val="21"/>
                      <w:highlight w:val="none"/>
                      <w14:textFill>
                        <w14:solidFill>
                          <w14:schemeClr w14:val="tx1"/>
                        </w14:solidFill>
                      </w14:textFill>
                    </w:rPr>
                    <w:t>2</w:t>
                  </w:r>
                  <w:r>
                    <w:rPr>
                      <w:rFonts w:ascii="Times New Roman" w:hAnsi="Times New Roman" w:cs="Times New Roman"/>
                      <w:color w:val="000000" w:themeColor="text1"/>
                      <w:spacing w:val="6"/>
                      <w:sz w:val="21"/>
                      <w:szCs w:val="21"/>
                      <w:highlight w:val="none"/>
                      <w14:textFill>
                        <w14:solidFill>
                          <w14:schemeClr w14:val="tx1"/>
                        </w14:solidFill>
                      </w14:textFill>
                    </w:rPr>
                    <w:t>、对产生噪声的主要设备设</w:t>
                  </w:r>
                  <w:r>
                    <w:rPr>
                      <w:rFonts w:ascii="Times New Roman" w:hAnsi="Times New Roman" w:cs="Times New Roman"/>
                      <w:color w:val="000000" w:themeColor="text1"/>
                      <w:spacing w:val="9"/>
                      <w:sz w:val="21"/>
                      <w:szCs w:val="21"/>
                      <w:highlight w:val="none"/>
                      <w14:textFill>
                        <w14:solidFill>
                          <w14:schemeClr w14:val="tx1"/>
                        </w14:solidFill>
                      </w14:textFill>
                    </w:rPr>
                    <w:t>施安装减震基础等降噪措施</w:t>
                  </w:r>
                </w:p>
              </w:tc>
              <w:tc>
                <w:tcPr>
                  <w:tcW w:w="503" w:type="pct"/>
                  <w:tcBorders>
                    <w:tl2br w:val="nil"/>
                    <w:tr2bl w:val="nil"/>
                  </w:tcBorders>
                  <w:shd w:val="clear" w:color="auto" w:fill="auto"/>
                  <w:vAlign w:val="center"/>
                </w:tcPr>
                <w:p w14:paraId="25E1B44E">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7B7A55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46" w:hRule="atLeast"/>
                <w:jc w:val="center"/>
              </w:trPr>
              <w:tc>
                <w:tcPr>
                  <w:tcW w:w="285" w:type="pct"/>
                  <w:vMerge w:val="continue"/>
                  <w:tcBorders>
                    <w:tl2br w:val="nil"/>
                    <w:tr2bl w:val="nil"/>
                  </w:tcBorders>
                  <w:shd w:val="clear" w:color="auto" w:fill="auto"/>
                  <w:vAlign w:val="center"/>
                </w:tcPr>
                <w:p w14:paraId="4E60524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2313" w:type="pct"/>
                  <w:tcBorders>
                    <w:tl2br w:val="nil"/>
                    <w:tr2bl w:val="nil"/>
                  </w:tcBorders>
                  <w:shd w:val="clear" w:color="auto" w:fill="auto"/>
                  <w:vAlign w:val="center"/>
                </w:tcPr>
                <w:p w14:paraId="4E8CFB2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28"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2"/>
                      <w:sz w:val="21"/>
                      <w:szCs w:val="21"/>
                      <w:highlight w:val="none"/>
                      <w14:textFill>
                        <w14:solidFill>
                          <w14:schemeClr w14:val="tx1"/>
                        </w14:solidFill>
                      </w14:textFill>
                    </w:rPr>
                    <w:t>生产性粉尘：预拌混凝土绿色</w:t>
                  </w:r>
                  <w:r>
                    <w:rPr>
                      <w:rFonts w:ascii="Times New Roman" w:hAnsi="Times New Roman" w:cs="Times New Roman"/>
                      <w:color w:val="000000" w:themeColor="text1"/>
                      <w:spacing w:val="8"/>
                      <w:sz w:val="21"/>
                      <w:szCs w:val="21"/>
                      <w:highlight w:val="none"/>
                      <w14:textFill>
                        <w14:solidFill>
                          <w14:schemeClr w14:val="tx1"/>
                        </w14:solidFill>
                      </w14:textFill>
                    </w:rPr>
                    <w:t>生产应满足本技术规程所指</w:t>
                  </w:r>
                  <w:r>
                    <w:rPr>
                      <w:rFonts w:ascii="Times New Roman" w:hAnsi="Times New Roman" w:cs="Times New Roman"/>
                      <w:color w:val="000000" w:themeColor="text1"/>
                      <w:spacing w:val="9"/>
                      <w:sz w:val="21"/>
                      <w:szCs w:val="21"/>
                      <w:highlight w:val="none"/>
                      <w14:textFill>
                        <w14:solidFill>
                          <w14:schemeClr w14:val="tx1"/>
                        </w14:solidFill>
                      </w14:textFill>
                    </w:rPr>
                    <w:t>定的生产性粉尘的排放量</w:t>
                  </w:r>
                </w:p>
              </w:tc>
              <w:tc>
                <w:tcPr>
                  <w:tcW w:w="1898" w:type="pct"/>
                  <w:tcBorders>
                    <w:tl2br w:val="nil"/>
                    <w:tr2bl w:val="nil"/>
                  </w:tcBorders>
                  <w:shd w:val="clear" w:color="auto" w:fill="auto"/>
                  <w:vAlign w:val="center"/>
                </w:tcPr>
                <w:p w14:paraId="33D67A2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本项目生产性粉尘采取下列</w:t>
                  </w:r>
                  <w:r>
                    <w:rPr>
                      <w:rFonts w:ascii="Times New Roman" w:hAnsi="Times New Roman" w:cs="Times New Roman"/>
                      <w:color w:val="000000" w:themeColor="text1"/>
                      <w:spacing w:val="3"/>
                      <w:sz w:val="21"/>
                      <w:szCs w:val="21"/>
                      <w:highlight w:val="none"/>
                      <w14:textFill>
                        <w14:solidFill>
                          <w14:schemeClr w14:val="tx1"/>
                        </w14:solidFill>
                      </w14:textFill>
                    </w:rPr>
                    <w:t>防尘技术措施：</w:t>
                  </w: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1</w:t>
                  </w:r>
                  <w:r>
                    <w:rPr>
                      <w:rFonts w:ascii="Times New Roman" w:hAnsi="Times New Roman" w:cs="Times New Roman"/>
                      <w:color w:val="000000" w:themeColor="text1"/>
                      <w:spacing w:val="3"/>
                      <w:sz w:val="21"/>
                      <w:szCs w:val="21"/>
                      <w:highlight w:val="none"/>
                      <w14:textFill>
                        <w14:solidFill>
                          <w14:schemeClr w14:val="tx1"/>
                        </w14:solidFill>
                      </w14:textFill>
                    </w:rPr>
                    <w:t>、</w:t>
                  </w:r>
                  <w:r>
                    <w:rPr>
                      <w:rFonts w:hint="default" w:ascii="Times New Roman" w:hAnsi="Times New Roman" w:cs="Times New Roman"/>
                      <w:color w:val="000000" w:themeColor="text1"/>
                      <w:spacing w:val="3"/>
                      <w:sz w:val="21"/>
                      <w:szCs w:val="21"/>
                      <w:highlight w:val="none"/>
                      <w:lang w:val="en-US" w:eastAsia="zh-CN"/>
                      <w14:textFill>
                        <w14:solidFill>
                          <w14:schemeClr w14:val="tx1"/>
                        </w14:solidFill>
                      </w14:textFill>
                    </w:rPr>
                    <w:t>粉尘</w:t>
                  </w:r>
                  <w:r>
                    <w:rPr>
                      <w:rFonts w:ascii="Times New Roman" w:hAnsi="Times New Roman" w:cs="Times New Roman"/>
                      <w:color w:val="000000" w:themeColor="text1"/>
                      <w:spacing w:val="4"/>
                      <w:sz w:val="21"/>
                      <w:szCs w:val="21"/>
                      <w:highlight w:val="none"/>
                      <w14:textFill>
                        <w14:solidFill>
                          <w14:schemeClr w14:val="tx1"/>
                        </w14:solidFill>
                      </w14:textFill>
                    </w:rPr>
                    <w:t>设置除尘器；</w:t>
                  </w:r>
                </w:p>
              </w:tc>
              <w:tc>
                <w:tcPr>
                  <w:tcW w:w="503" w:type="pct"/>
                  <w:tcBorders>
                    <w:tl2br w:val="nil"/>
                    <w:tr2bl w:val="nil"/>
                  </w:tcBorders>
                  <w:shd w:val="clear" w:color="auto" w:fill="auto"/>
                  <w:vAlign w:val="center"/>
                </w:tcPr>
                <w:p w14:paraId="64E71B22">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bl>
          <w:p w14:paraId="696830FA">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（2）与《四川省绿色环保搅拌站建设、管理和评价标准》符合性分析</w:t>
            </w:r>
          </w:p>
          <w:p w14:paraId="5782FEF7">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本项目为混凝土拌合站建设项目。故本项目与《四川省绿色环保搅拌站建设、管理和评价标准》（DBJ51/T104-2018）的符合性分析如下：</w:t>
            </w:r>
          </w:p>
          <w:p w14:paraId="6B142A80">
            <w:pPr>
              <w:keepNext w:val="0"/>
              <w:keepLines w:val="0"/>
              <w:pageBreakBefore w:val="0"/>
              <w:kinsoku/>
              <w:wordWrap/>
              <w:overflowPunct/>
              <w:bidi w:val="0"/>
              <w:adjustRightInd/>
              <w:snapToGrid/>
              <w:spacing w:beforeLines="0" w:beforeAutospacing="0" w:afterLines="0" w:afterAutospacing="0" w:line="360" w:lineRule="auto"/>
              <w:ind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与《四川省绿色环保搅拌站建设、管理和评价标准》符合性分析</w:t>
            </w:r>
          </w:p>
          <w:tbl>
            <w:tblPr>
              <w:tblStyle w:val="89"/>
              <w:tblW w:w="4999" w:type="pct"/>
              <w:jc w:val="center"/>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shd w:val="clear" w:color="auto" w:fill="auto"/>
              <w:tblLayout w:type="autofit"/>
              <w:tblCellMar>
                <w:top w:w="0" w:type="dxa"/>
                <w:left w:w="0" w:type="dxa"/>
                <w:bottom w:w="0" w:type="dxa"/>
                <w:right w:w="0" w:type="dxa"/>
              </w:tblCellMar>
            </w:tblPr>
            <w:tblGrid>
              <w:gridCol w:w="4386"/>
              <w:gridCol w:w="2641"/>
              <w:gridCol w:w="635"/>
            </w:tblGrid>
            <w:tr w14:paraId="6837B62B">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shd w:val="clear" w:color="auto" w:fill="auto"/>
                <w:tblCellMar>
                  <w:top w:w="0" w:type="dxa"/>
                  <w:left w:w="0" w:type="dxa"/>
                  <w:bottom w:w="0" w:type="dxa"/>
                  <w:right w:w="0" w:type="dxa"/>
                </w:tblCellMar>
              </w:tblPrEx>
              <w:trPr>
                <w:trHeight w:val="544" w:hRule="atLeast"/>
                <w:jc w:val="center"/>
              </w:trPr>
              <w:tc>
                <w:tcPr>
                  <w:tcW w:w="2862" w:type="pct"/>
                  <w:tcBorders>
                    <w:tl2br w:val="nil"/>
                    <w:tr2bl w:val="nil"/>
                  </w:tcBorders>
                  <w:shd w:val="clear" w:color="auto" w:fill="auto"/>
                  <w:vAlign w:val="center"/>
                </w:tcPr>
                <w:p w14:paraId="1FCAB8D3">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规范设计要求</w:t>
                  </w:r>
                </w:p>
              </w:tc>
              <w:tc>
                <w:tcPr>
                  <w:tcW w:w="1723" w:type="pct"/>
                  <w:tcBorders>
                    <w:tl2br w:val="nil"/>
                    <w:tr2bl w:val="nil"/>
                  </w:tcBorders>
                  <w:shd w:val="clear" w:color="auto" w:fill="auto"/>
                  <w:vAlign w:val="center"/>
                </w:tcPr>
                <w:p w14:paraId="00119A6A">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本项目设计</w:t>
                  </w:r>
                </w:p>
              </w:tc>
              <w:tc>
                <w:tcPr>
                  <w:tcW w:w="414" w:type="pct"/>
                  <w:tcBorders>
                    <w:tl2br w:val="nil"/>
                    <w:tr2bl w:val="nil"/>
                  </w:tcBorders>
                  <w:shd w:val="clear" w:color="auto" w:fill="auto"/>
                  <w:vAlign w:val="center"/>
                </w:tcPr>
                <w:p w14:paraId="29FC38F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符合性</w:t>
                  </w:r>
                </w:p>
              </w:tc>
            </w:tr>
            <w:tr w14:paraId="3DDB5C81">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1339" w:hRule="atLeast"/>
                <w:jc w:val="center"/>
              </w:trPr>
              <w:tc>
                <w:tcPr>
                  <w:tcW w:w="2862" w:type="pct"/>
                  <w:tcBorders>
                    <w:tl2br w:val="nil"/>
                    <w:tr2bl w:val="nil"/>
                  </w:tcBorders>
                  <w:shd w:val="clear" w:color="auto" w:fill="auto"/>
                  <w:vAlign w:val="center"/>
                </w:tcPr>
                <w:p w14:paraId="4E1A644D">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站区道路及生产作业区地面应采用不起尘的混凝土或沥青混凝土等硬质地面。生产作业区须采取有效措施保持场地整洁无扬尘，并应对未硬化处理的空地进行绿化。道路设计应综合考虑以下因</w:t>
                  </w:r>
                  <w:r>
                    <w:rPr>
                      <w:rFonts w:ascii="Times New Roman" w:hAnsi="Times New Roman" w:cs="Times New Roman"/>
                      <w:color w:val="000000" w:themeColor="text1"/>
                      <w:sz w:val="21"/>
                      <w:szCs w:val="21"/>
                      <w:highlight w:val="none"/>
                      <w14:textFill>
                        <w14:solidFill>
                          <w14:schemeClr w14:val="tx1"/>
                        </w14:solidFill>
                      </w14:textFill>
                    </w:rPr>
                    <w:t>素</w:t>
                  </w:r>
                </w:p>
              </w:tc>
              <w:tc>
                <w:tcPr>
                  <w:tcW w:w="1723" w:type="pct"/>
                  <w:tcBorders>
                    <w:tl2br w:val="nil"/>
                    <w:tr2bl w:val="nil"/>
                  </w:tcBorders>
                  <w:shd w:val="clear" w:color="auto" w:fill="auto"/>
                  <w:vAlign w:val="center"/>
                </w:tcPr>
                <w:p w14:paraId="65B6EA4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厂区地面均拟采取混凝土硬化</w:t>
                  </w:r>
                </w:p>
              </w:tc>
              <w:tc>
                <w:tcPr>
                  <w:tcW w:w="414" w:type="pct"/>
                  <w:tcBorders>
                    <w:tl2br w:val="nil"/>
                    <w:tr2bl w:val="nil"/>
                  </w:tcBorders>
                  <w:shd w:val="clear" w:color="auto" w:fill="auto"/>
                  <w:vAlign w:val="center"/>
                </w:tcPr>
                <w:p w14:paraId="160764AE">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5A7D222A">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shd w:val="clear" w:color="auto" w:fill="auto"/>
                <w:tblCellMar>
                  <w:top w:w="0" w:type="dxa"/>
                  <w:left w:w="0" w:type="dxa"/>
                  <w:bottom w:w="0" w:type="dxa"/>
                  <w:right w:w="0" w:type="dxa"/>
                </w:tblCellMar>
              </w:tblPrEx>
              <w:trPr>
                <w:trHeight w:val="1339" w:hRule="atLeast"/>
                <w:jc w:val="center"/>
              </w:trPr>
              <w:tc>
                <w:tcPr>
                  <w:tcW w:w="2862" w:type="pct"/>
                  <w:tcBorders>
                    <w:tl2br w:val="nil"/>
                    <w:tr2bl w:val="nil"/>
                  </w:tcBorders>
                  <w:shd w:val="clear" w:color="auto" w:fill="auto"/>
                  <w:vAlign w:val="center"/>
                </w:tcPr>
                <w:p w14:paraId="44B8A10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站区内应根据搅拌站所在地区年平均降雨量设置适宜容积的雨水收集池，雨水经沉淀、净化后可根据实际需要再利用同时应具备强降雨时能顺畅排洪及不致产生</w:t>
                  </w:r>
                  <w:r>
                    <w:rPr>
                      <w:rFonts w:ascii="Times New Roman" w:hAnsi="Times New Roman" w:cs="Times New Roman"/>
                      <w:color w:val="000000" w:themeColor="text1"/>
                      <w:spacing w:val="8"/>
                      <w:sz w:val="21"/>
                      <w:szCs w:val="21"/>
                      <w:highlight w:val="none"/>
                      <w14:textFill>
                        <w14:solidFill>
                          <w14:schemeClr w14:val="tx1"/>
                        </w14:solidFill>
                      </w14:textFill>
                    </w:rPr>
                    <w:t>滑坡等自然灾害的能力。</w:t>
                  </w:r>
                </w:p>
              </w:tc>
              <w:tc>
                <w:tcPr>
                  <w:tcW w:w="1723" w:type="pct"/>
                  <w:tcBorders>
                    <w:tl2br w:val="nil"/>
                    <w:tr2bl w:val="nil"/>
                  </w:tcBorders>
                  <w:shd w:val="clear" w:color="auto" w:fill="auto"/>
                  <w:vAlign w:val="center"/>
                </w:tcPr>
                <w:p w14:paraId="7087D65B">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厂区内设置三级沉淀池，雨水经沉淀后回用于生产</w:t>
                  </w:r>
                </w:p>
              </w:tc>
              <w:tc>
                <w:tcPr>
                  <w:tcW w:w="414" w:type="pct"/>
                  <w:tcBorders>
                    <w:tl2br w:val="nil"/>
                    <w:tr2bl w:val="nil"/>
                  </w:tcBorders>
                  <w:shd w:val="clear" w:color="auto" w:fill="auto"/>
                  <w:vAlign w:val="center"/>
                </w:tcPr>
                <w:p w14:paraId="6FB75EF5">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79516D82">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1075" w:hRule="atLeast"/>
                <w:jc w:val="center"/>
              </w:trPr>
              <w:tc>
                <w:tcPr>
                  <w:tcW w:w="2862" w:type="pct"/>
                  <w:tcBorders>
                    <w:tl2br w:val="nil"/>
                    <w:tr2bl w:val="nil"/>
                  </w:tcBorders>
                  <w:shd w:val="clear" w:color="auto" w:fill="auto"/>
                  <w:vAlign w:val="center"/>
                </w:tcPr>
                <w:p w14:paraId="4FD7D26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53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29"/>
                      <w:sz w:val="21"/>
                      <w:szCs w:val="21"/>
                      <w:highlight w:val="none"/>
                      <w14:textFill>
                        <w14:solidFill>
                          <w14:schemeClr w14:val="tx1"/>
                        </w14:solidFill>
                      </w14:textFill>
                    </w:rPr>
                    <w:t>对易产生噪声的机械设备及区</w:t>
                  </w:r>
                  <w:r>
                    <w:rPr>
                      <w:rFonts w:ascii="Times New Roman" w:hAnsi="Times New Roman" w:cs="Times New Roman"/>
                      <w:color w:val="000000" w:themeColor="text1"/>
                      <w:spacing w:val="13"/>
                      <w:sz w:val="21"/>
                      <w:szCs w:val="21"/>
                      <w:highlight w:val="none"/>
                      <w14:textFill>
                        <w14:solidFill>
                          <w14:schemeClr w14:val="tx1"/>
                        </w14:solidFill>
                      </w14:textFill>
                    </w:rPr>
                    <w:t>域，应采取适宜、有效的降噪及隔声屏障措施。降噪及隔声屏障措施的设置应符合国家现行有关</w:t>
                  </w:r>
                  <w:r>
                    <w:rPr>
                      <w:rFonts w:ascii="Times New Roman" w:hAnsi="Times New Roman" w:cs="Times New Roman"/>
                      <w:color w:val="000000" w:themeColor="text1"/>
                      <w:spacing w:val="8"/>
                      <w:sz w:val="21"/>
                      <w:szCs w:val="21"/>
                      <w:highlight w:val="none"/>
                      <w14:textFill>
                        <w14:solidFill>
                          <w14:schemeClr w14:val="tx1"/>
                        </w14:solidFill>
                      </w14:textFill>
                    </w:rPr>
                    <w:t>安全质量标准的规定。</w:t>
                  </w:r>
                </w:p>
              </w:tc>
              <w:tc>
                <w:tcPr>
                  <w:tcW w:w="1723" w:type="pct"/>
                  <w:tcBorders>
                    <w:tl2br w:val="nil"/>
                    <w:tr2bl w:val="nil"/>
                  </w:tcBorders>
                  <w:shd w:val="clear" w:color="auto" w:fill="auto"/>
                  <w:vAlign w:val="center"/>
                </w:tcPr>
                <w:p w14:paraId="4A263CD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厂区内拟设置有密闭搅拌车间，仅保留出入口，确保符合相关标</w:t>
                  </w:r>
                  <w:r>
                    <w:rPr>
                      <w:rFonts w:ascii="Times New Roman" w:hAnsi="Times New Roman" w:cs="Times New Roman"/>
                      <w:color w:val="000000" w:themeColor="text1"/>
                      <w:sz w:val="21"/>
                      <w:szCs w:val="21"/>
                      <w:highlight w:val="none"/>
                      <w14:textFill>
                        <w14:solidFill>
                          <w14:schemeClr w14:val="tx1"/>
                        </w14:solidFill>
                      </w14:textFill>
                    </w:rPr>
                    <w:t>准</w:t>
                  </w:r>
                </w:p>
              </w:tc>
              <w:tc>
                <w:tcPr>
                  <w:tcW w:w="414" w:type="pct"/>
                  <w:tcBorders>
                    <w:tl2br w:val="nil"/>
                    <w:tr2bl w:val="nil"/>
                  </w:tcBorders>
                  <w:shd w:val="clear" w:color="auto" w:fill="auto"/>
                  <w:vAlign w:val="center"/>
                </w:tcPr>
                <w:p w14:paraId="656040A2">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6344D8C0">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shd w:val="clear" w:color="auto" w:fill="auto"/>
                <w:tblCellMar>
                  <w:top w:w="0" w:type="dxa"/>
                  <w:left w:w="0" w:type="dxa"/>
                  <w:bottom w:w="0" w:type="dxa"/>
                  <w:right w:w="0" w:type="dxa"/>
                </w:tblCellMar>
              </w:tblPrEx>
              <w:trPr>
                <w:trHeight w:val="1075" w:hRule="atLeast"/>
                <w:jc w:val="center"/>
              </w:trPr>
              <w:tc>
                <w:tcPr>
                  <w:tcW w:w="2862" w:type="pct"/>
                  <w:tcBorders>
                    <w:tl2br w:val="nil"/>
                    <w:tr2bl w:val="nil"/>
                  </w:tcBorders>
                  <w:shd w:val="clear" w:color="auto" w:fill="auto"/>
                  <w:vAlign w:val="center"/>
                </w:tcPr>
                <w:p w14:paraId="7721750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对产生粉尘排放的设备、设施或场所，应进行封闭处理或安装除尘装置。并应根据需要设置适宜</w:t>
                  </w:r>
                  <w:r>
                    <w:rPr>
                      <w:rFonts w:ascii="Times New Roman" w:hAnsi="Times New Roman" w:cs="Times New Roman"/>
                      <w:color w:val="000000" w:themeColor="text1"/>
                      <w:spacing w:val="7"/>
                      <w:sz w:val="21"/>
                      <w:szCs w:val="21"/>
                      <w:highlight w:val="none"/>
                      <w14:textFill>
                        <w14:solidFill>
                          <w14:schemeClr w14:val="tx1"/>
                        </w14:solidFill>
                      </w14:textFill>
                    </w:rPr>
                    <w:t>的喷淋装置对砂石进行预湿处</w:t>
                  </w:r>
                  <w:r>
                    <w:rPr>
                      <w:rFonts w:ascii="Times New Roman" w:hAnsi="Times New Roman" w:cs="Times New Roman"/>
                      <w:color w:val="000000" w:themeColor="text1"/>
                      <w:spacing w:val="1"/>
                      <w:sz w:val="21"/>
                      <w:szCs w:val="21"/>
                      <w:highlight w:val="none"/>
                      <w14:textFill>
                        <w14:solidFill>
                          <w14:schemeClr w14:val="tx1"/>
                        </w14:solidFill>
                      </w14:textFill>
                    </w:rPr>
                    <w:t>置。</w:t>
                  </w:r>
                </w:p>
              </w:tc>
              <w:tc>
                <w:tcPr>
                  <w:tcW w:w="1723" w:type="pct"/>
                  <w:tcBorders>
                    <w:tl2br w:val="nil"/>
                    <w:tr2bl w:val="nil"/>
                  </w:tcBorders>
                  <w:shd w:val="clear" w:color="auto" w:fill="auto"/>
                  <w:vAlign w:val="center"/>
                </w:tcPr>
                <w:p w14:paraId="0060FEDF">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搅拌站筒仓安装除尘装置，并于搅拌过程中进行喷淋</w:t>
                  </w:r>
                </w:p>
              </w:tc>
              <w:tc>
                <w:tcPr>
                  <w:tcW w:w="414" w:type="pct"/>
                  <w:tcBorders>
                    <w:tl2br w:val="nil"/>
                    <w:tr2bl w:val="nil"/>
                  </w:tcBorders>
                  <w:shd w:val="clear" w:color="auto" w:fill="auto"/>
                  <w:vAlign w:val="center"/>
                </w:tcPr>
                <w:p w14:paraId="3328E0E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596F9CBA">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810" w:hRule="atLeast"/>
                <w:jc w:val="center"/>
              </w:trPr>
              <w:tc>
                <w:tcPr>
                  <w:tcW w:w="2862" w:type="pct"/>
                  <w:tcBorders>
                    <w:tl2br w:val="nil"/>
                    <w:tr2bl w:val="nil"/>
                  </w:tcBorders>
                  <w:shd w:val="clear" w:color="auto" w:fill="auto"/>
                  <w:vAlign w:val="center"/>
                </w:tcPr>
                <w:p w14:paraId="7ADDF02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44"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搅拌楼主体生产环节实施密闭、</w:t>
                  </w:r>
                  <w:r>
                    <w:rPr>
                      <w:rFonts w:ascii="Times New Roman" w:hAnsi="Times New Roman" w:cs="Times New Roman"/>
                      <w:color w:val="000000" w:themeColor="text1"/>
                      <w:spacing w:val="8"/>
                      <w:sz w:val="21"/>
                      <w:szCs w:val="21"/>
                      <w:highlight w:val="none"/>
                      <w14:textFill>
                        <w14:solidFill>
                          <w14:schemeClr w14:val="tx1"/>
                        </w14:solidFill>
                      </w14:textFill>
                    </w:rPr>
                    <w:t>骨料堆场密闭</w:t>
                  </w:r>
                </w:p>
              </w:tc>
              <w:tc>
                <w:tcPr>
                  <w:tcW w:w="1723" w:type="pct"/>
                  <w:tcBorders>
                    <w:tl2br w:val="nil"/>
                    <w:tr2bl w:val="nil"/>
                  </w:tcBorders>
                  <w:shd w:val="clear" w:color="auto" w:fill="auto"/>
                  <w:vAlign w:val="center"/>
                </w:tcPr>
                <w:p w14:paraId="7B1A80E5">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20"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本项目拟设置密闭堆场，其为密闭仓库并设置有喷雾装置。</w:t>
                  </w:r>
                </w:p>
              </w:tc>
              <w:tc>
                <w:tcPr>
                  <w:tcW w:w="414" w:type="pct"/>
                  <w:tcBorders>
                    <w:tl2br w:val="nil"/>
                    <w:tr2bl w:val="nil"/>
                  </w:tcBorders>
                  <w:shd w:val="clear" w:color="auto" w:fill="auto"/>
                  <w:vAlign w:val="center"/>
                </w:tcPr>
                <w:p w14:paraId="48A4D569">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4D613F18">
              <w:tblPrEx>
                <w:tblBorders>
                  <w:top w:val="single" w:color="000000" w:sz="6" w:space="0"/>
                  <w:left w:val="none" w:color="auto" w:sz="0" w:space="0"/>
                  <w:bottom w:val="single" w:color="000000" w:sz="4"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820" w:hRule="atLeast"/>
                <w:jc w:val="center"/>
              </w:trPr>
              <w:tc>
                <w:tcPr>
                  <w:tcW w:w="2862" w:type="pct"/>
                  <w:tcBorders>
                    <w:tl2br w:val="nil"/>
                    <w:tr2bl w:val="nil"/>
                  </w:tcBorders>
                  <w:shd w:val="clear" w:color="auto" w:fill="auto"/>
                  <w:vAlign w:val="center"/>
                </w:tcPr>
                <w:p w14:paraId="61CF943A">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生产性废水、废浆综合利用</w:t>
                  </w:r>
                </w:p>
              </w:tc>
              <w:tc>
                <w:tcPr>
                  <w:tcW w:w="1723" w:type="pct"/>
                  <w:tcBorders>
                    <w:tl2br w:val="nil"/>
                    <w:tr2bl w:val="nil"/>
                  </w:tcBorders>
                  <w:shd w:val="clear" w:color="auto" w:fill="auto"/>
                  <w:vAlign w:val="center"/>
                </w:tcPr>
                <w:p w14:paraId="30A0DDE2">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本项目设置有三级沉淀池，生产废水经沉淀后回用</w:t>
                  </w:r>
                </w:p>
              </w:tc>
              <w:tc>
                <w:tcPr>
                  <w:tcW w:w="414" w:type="pct"/>
                  <w:tcBorders>
                    <w:tl2br w:val="nil"/>
                    <w:tr2bl w:val="nil"/>
                  </w:tcBorders>
                  <w:shd w:val="clear" w:color="auto" w:fill="auto"/>
                  <w:vAlign w:val="center"/>
                </w:tcPr>
                <w:p w14:paraId="0B94EC47">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bl>
          <w:p w14:paraId="13A95834">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与《四川省住房和城乡建设厅关于推进预拌混凝土、预拌砂浆绿色生产的通知》（川建散水发〔2017〕559号）符合性分析</w:t>
            </w:r>
          </w:p>
          <w:p w14:paraId="2052BD73">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本项目为混凝土拌合站建设项目。故本项目与《四川省住房和城乡建设厅关于推进预拌混凝土、预拌砂浆绿色生产的通知》（川建散水发〔2017〕559号）的符合性分析如下：</w:t>
            </w:r>
          </w:p>
          <w:p w14:paraId="45696CA7">
            <w:pPr>
              <w:keepNext w:val="0"/>
              <w:keepLines w:val="0"/>
              <w:pageBreakBefore w:val="0"/>
              <w:kinsoku/>
              <w:wordWrap/>
              <w:overflowPunct/>
              <w:bidi w:val="0"/>
              <w:adjustRightInd/>
              <w:snapToGrid/>
              <w:spacing w:beforeLines="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w:t>
            </w:r>
            <w:r>
              <w:rPr>
                <w:rFonts w:hint="eastAsia"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与《四川省绿色环保搅拌站建设、管理和评价标准》符合性分析</w:t>
            </w:r>
          </w:p>
          <w:tbl>
            <w:tblPr>
              <w:tblStyle w:val="89"/>
              <w:tblW w:w="4998" w:type="pct"/>
              <w:jc w:val="center"/>
              <w:tblBorders>
                <w:top w:val="single" w:color="000000" w:sz="6"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196"/>
              <w:gridCol w:w="1726"/>
              <w:gridCol w:w="739"/>
            </w:tblGrid>
            <w:tr w14:paraId="6B021FA6">
              <w:tblPrEx>
                <w:tblBorders>
                  <w:top w:val="single" w:color="000000" w:sz="6"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3" w:hRule="atLeast"/>
                <w:jc w:val="center"/>
              </w:trPr>
              <w:tc>
                <w:tcPr>
                  <w:tcW w:w="3390" w:type="pct"/>
                  <w:tcBorders>
                    <w:tl2br w:val="nil"/>
                    <w:tr2bl w:val="nil"/>
                  </w:tcBorders>
                  <w:shd w:val="clear" w:color="auto" w:fill="auto"/>
                  <w:vAlign w:val="center"/>
                </w:tcPr>
                <w:p w14:paraId="0997870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规范设计要求</w:t>
                  </w:r>
                </w:p>
              </w:tc>
              <w:tc>
                <w:tcPr>
                  <w:tcW w:w="1126" w:type="pct"/>
                  <w:tcBorders>
                    <w:tl2br w:val="nil"/>
                    <w:tr2bl w:val="nil"/>
                  </w:tcBorders>
                  <w:shd w:val="clear" w:color="auto" w:fill="auto"/>
                  <w:vAlign w:val="center"/>
                </w:tcPr>
                <w:p w14:paraId="17E5121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本项目设计</w:t>
                  </w:r>
                </w:p>
              </w:tc>
              <w:tc>
                <w:tcPr>
                  <w:tcW w:w="482" w:type="pct"/>
                  <w:tcBorders>
                    <w:tl2br w:val="nil"/>
                    <w:tr2bl w:val="nil"/>
                  </w:tcBorders>
                  <w:shd w:val="clear" w:color="auto" w:fill="auto"/>
                  <w:vAlign w:val="center"/>
                </w:tcPr>
                <w:p w14:paraId="67DE28A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5"/>
                      <w:sz w:val="21"/>
                      <w:szCs w:val="21"/>
                      <w:highlight w:val="none"/>
                      <w14:textFill>
                        <w14:solidFill>
                          <w14:schemeClr w14:val="tx1"/>
                        </w14:solidFill>
                      </w14:textFill>
                    </w:rPr>
                    <w:t>符合性</w:t>
                  </w:r>
                </w:p>
              </w:tc>
            </w:tr>
            <w:tr w14:paraId="257DF833">
              <w:tblPrEx>
                <w:tblBorders>
                  <w:top w:val="single" w:color="000000" w:sz="6"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081" w:hRule="atLeast"/>
                <w:jc w:val="center"/>
              </w:trPr>
              <w:tc>
                <w:tcPr>
                  <w:tcW w:w="3390" w:type="pct"/>
                  <w:tcBorders>
                    <w:tl2br w:val="nil"/>
                    <w:tr2bl w:val="nil"/>
                  </w:tcBorders>
                  <w:shd w:val="clear" w:color="auto" w:fill="auto"/>
                  <w:vAlign w:val="center"/>
                </w:tcPr>
                <w:p w14:paraId="7E47FA4A">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新建、改建、扩建的预拌混凝土和预拌砂浆</w:t>
                  </w:r>
                  <w:r>
                    <w:rPr>
                      <w:rFonts w:ascii="Times New Roman" w:hAnsi="Times New Roman" w:cs="Times New Roman"/>
                      <w:color w:val="000000" w:themeColor="text1"/>
                      <w:spacing w:val="4"/>
                      <w:sz w:val="21"/>
                      <w:szCs w:val="21"/>
                      <w:highlight w:val="none"/>
                      <w14:textFill>
                        <w14:solidFill>
                          <w14:schemeClr w14:val="tx1"/>
                        </w14:solidFill>
                      </w14:textFill>
                    </w:rPr>
                    <w:t>生产企业，应按照《条例》</w:t>
                  </w: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w:t>
                  </w:r>
                  <w:r>
                    <w:rPr>
                      <w:rFonts w:ascii="Times New Roman" w:hAnsi="Times New Roman" w:cs="Times New Roman"/>
                      <w:color w:val="000000" w:themeColor="text1"/>
                      <w:spacing w:val="4"/>
                      <w:sz w:val="21"/>
                      <w:szCs w:val="21"/>
                      <w:highlight w:val="none"/>
                      <w14:textFill>
                        <w14:solidFill>
                          <w14:schemeClr w14:val="tx1"/>
                        </w14:solidFill>
                      </w14:textFill>
                    </w:rPr>
                    <w:t>无粉尘污染、低噪音生产、废弃物零排放</w:t>
                  </w: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w:t>
                  </w:r>
                  <w:r>
                    <w:rPr>
                      <w:rFonts w:ascii="Times New Roman" w:hAnsi="Times New Roman" w:cs="Times New Roman"/>
                      <w:color w:val="000000" w:themeColor="text1"/>
                      <w:spacing w:val="4"/>
                      <w:sz w:val="21"/>
                      <w:szCs w:val="21"/>
                      <w:highlight w:val="none"/>
                      <w14:textFill>
                        <w14:solidFill>
                          <w14:schemeClr w14:val="tx1"/>
                        </w14:solidFill>
                      </w14:textFill>
                    </w:rPr>
                    <w:t>及《预拌混凝土绿</w:t>
                  </w:r>
                  <w:r>
                    <w:rPr>
                      <w:rFonts w:ascii="Times New Roman" w:hAnsi="Times New Roman" w:cs="Times New Roman"/>
                      <w:color w:val="000000" w:themeColor="text1"/>
                      <w:spacing w:val="7"/>
                      <w:sz w:val="21"/>
                      <w:szCs w:val="21"/>
                      <w:highlight w:val="none"/>
                      <w14:textFill>
                        <w14:solidFill>
                          <w14:schemeClr w14:val="tx1"/>
                        </w14:solidFill>
                      </w14:textFill>
                    </w:rPr>
                    <w:t>色生产及管理技术规程》（</w:t>
                  </w:r>
                  <w:r>
                    <w:rPr>
                      <w:rFonts w:ascii="Times New Roman" w:hAnsi="Times New Roman" w:eastAsia="Times New Roman" w:cs="Times New Roman"/>
                      <w:color w:val="000000" w:themeColor="text1"/>
                      <w:sz w:val="21"/>
                      <w:szCs w:val="21"/>
                      <w:highlight w:val="none"/>
                      <w14:textFill>
                        <w14:solidFill>
                          <w14:schemeClr w14:val="tx1"/>
                        </w14:solidFill>
                      </w14:textFill>
                    </w:rPr>
                    <w:t>JGJ</w:t>
                  </w: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/T328-2014</w:t>
                  </w:r>
                  <w:r>
                    <w:rPr>
                      <w:rFonts w:ascii="Times New Roman" w:hAnsi="Times New Roman" w:cs="Times New Roman"/>
                      <w:color w:val="000000" w:themeColor="text1"/>
                      <w:spacing w:val="7"/>
                      <w:sz w:val="21"/>
                      <w:szCs w:val="21"/>
                      <w:highlight w:val="none"/>
                      <w14:textFill>
                        <w14:solidFill>
                          <w14:schemeClr w14:val="tx1"/>
                        </w14:solidFill>
                      </w14:textFill>
                    </w:rPr>
                    <w:t>）</w:t>
                  </w:r>
                  <w:r>
                    <w:rPr>
                      <w:rFonts w:ascii="Times New Roman" w:hAnsi="Times New Roman" w:cs="Times New Roman"/>
                      <w:color w:val="000000" w:themeColor="text1"/>
                      <w:spacing w:val="9"/>
                      <w:sz w:val="21"/>
                      <w:szCs w:val="21"/>
                      <w:highlight w:val="none"/>
                      <w14:textFill>
                        <w14:solidFill>
                          <w14:schemeClr w14:val="tx1"/>
                        </w14:solidFill>
                      </w14:textFill>
                    </w:rPr>
                    <w:t>要求，同步实施环保配套建设，做到环保配套建设与主体建设</w:t>
                  </w:r>
                  <w:r>
                    <w:rPr>
                      <w:rFonts w:ascii="Times New Roman" w:hAnsi="Times New Roman" w:eastAsia="Times New Roman" w:cs="Times New Roman"/>
                      <w:color w:val="000000" w:themeColor="text1"/>
                      <w:spacing w:val="9"/>
                      <w:sz w:val="21"/>
                      <w:szCs w:val="21"/>
                      <w:highlight w:val="none"/>
                      <w14:textFill>
                        <w14:solidFill>
                          <w14:schemeClr w14:val="tx1"/>
                        </w14:solidFill>
                      </w14:textFill>
                    </w:rPr>
                    <w:t>"</w:t>
                  </w:r>
                  <w:r>
                    <w:rPr>
                      <w:rFonts w:ascii="Times New Roman" w:hAnsi="Times New Roman" w:cs="Times New Roman"/>
                      <w:color w:val="000000" w:themeColor="text1"/>
                      <w:spacing w:val="9"/>
                      <w:sz w:val="21"/>
                      <w:szCs w:val="21"/>
                      <w:highlight w:val="none"/>
                      <w14:textFill>
                        <w14:solidFill>
                          <w14:schemeClr w14:val="tx1"/>
                        </w14:solidFill>
                      </w14:textFill>
                    </w:rPr>
                    <w:t>三同时</w:t>
                  </w:r>
                  <w:r>
                    <w:rPr>
                      <w:rFonts w:ascii="Times New Roman" w:hAnsi="Times New Roman" w:eastAsia="Times New Roman" w:cs="Times New Roman"/>
                      <w:color w:val="000000" w:themeColor="text1"/>
                      <w:spacing w:val="9"/>
                      <w:sz w:val="21"/>
                      <w:szCs w:val="21"/>
                      <w:highlight w:val="none"/>
                      <w14:textFill>
                        <w14:solidFill>
                          <w14:schemeClr w14:val="tx1"/>
                        </w14:solidFill>
                      </w14:textFill>
                    </w:rPr>
                    <w:t>"</w:t>
                  </w:r>
                  <w:r>
                    <w:rPr>
                      <w:rFonts w:ascii="Times New Roman" w:hAnsi="Times New Roman" w:cs="Times New Roman"/>
                      <w:color w:val="000000" w:themeColor="text1"/>
                      <w:spacing w:val="9"/>
                      <w:sz w:val="21"/>
                      <w:szCs w:val="21"/>
                      <w:highlight w:val="none"/>
                      <w14:textFill>
                        <w14:solidFill>
                          <w14:schemeClr w14:val="tx1"/>
                        </w14:solidFill>
                      </w14:textFill>
                    </w:rPr>
                    <w:t>（同时设计、同</w:t>
                  </w:r>
                  <w:r>
                    <w:rPr>
                      <w:rFonts w:ascii="Times New Roman" w:hAnsi="Times New Roman" w:cs="Times New Roman"/>
                      <w:color w:val="000000" w:themeColor="text1"/>
                      <w:spacing w:val="8"/>
                      <w:sz w:val="21"/>
                      <w:szCs w:val="21"/>
                      <w:highlight w:val="none"/>
                      <w14:textFill>
                        <w14:solidFill>
                          <w14:schemeClr w14:val="tx1"/>
                        </w14:solidFill>
                      </w14:textFill>
                    </w:rPr>
                    <w:t>时施工、同时验收使用）。加快推进既有预</w:t>
                  </w:r>
                  <w:r>
                    <w:rPr>
                      <w:rFonts w:ascii="Times New Roman" w:hAnsi="Times New Roman" w:cs="Times New Roman"/>
                      <w:color w:val="000000" w:themeColor="text1"/>
                      <w:spacing w:val="1"/>
                      <w:sz w:val="21"/>
                      <w:szCs w:val="21"/>
                      <w:highlight w:val="none"/>
                      <w14:textFill>
                        <w14:solidFill>
                          <w14:schemeClr w14:val="tx1"/>
                        </w14:solidFill>
                      </w14:textFill>
                    </w:rPr>
                    <w:t>拌混凝土和预拌砂浆企业收尘、除尘、降噪，</w:t>
                  </w:r>
                  <w:r>
                    <w:rPr>
                      <w:rFonts w:ascii="Times New Roman" w:hAnsi="Times New Roman" w:cs="Times New Roman"/>
                      <w:color w:val="000000" w:themeColor="text1"/>
                      <w:spacing w:val="9"/>
                      <w:sz w:val="21"/>
                      <w:szCs w:val="21"/>
                      <w:highlight w:val="none"/>
                      <w14:textFill>
                        <w14:solidFill>
                          <w14:schemeClr w14:val="tx1"/>
                        </w14:solidFill>
                      </w14:textFill>
                    </w:rPr>
                    <w:t>污水、废料处理设施的提档升级，确保按绿色环保搅拌站要求搞好绿色生产</w:t>
                  </w:r>
                </w:p>
              </w:tc>
              <w:tc>
                <w:tcPr>
                  <w:tcW w:w="1126" w:type="pct"/>
                  <w:tcBorders>
                    <w:tl2br w:val="nil"/>
                    <w:tr2bl w:val="nil"/>
                  </w:tcBorders>
                  <w:shd w:val="clear" w:color="auto" w:fill="auto"/>
                  <w:vAlign w:val="center"/>
                </w:tcPr>
                <w:p w14:paraId="389C9EE5">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444"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由</w:t>
                  </w:r>
                  <w:r>
                    <w:rPr>
                      <w:rFonts w:hint="eastAsia" w:ascii="Times New Roman" w:hAnsi="Times New Roman" w:cs="Times New Roman"/>
                      <w:color w:val="000000" w:themeColor="text1"/>
                      <w:spacing w:val="6"/>
                      <w:sz w:val="21"/>
                      <w:szCs w:val="21"/>
                      <w:highlight w:val="none"/>
                      <w14:textFill>
                        <w14:solidFill>
                          <w14:schemeClr w14:val="tx1"/>
                        </w14:solidFill>
                      </w14:textFill>
                    </w:rPr>
                    <w:t>表1-7</w:t>
                  </w:r>
                  <w:r>
                    <w:rPr>
                      <w:rFonts w:ascii="Times New Roman" w:hAnsi="Times New Roman" w:cs="Times New Roman"/>
                      <w:color w:val="000000" w:themeColor="text1"/>
                      <w:spacing w:val="6"/>
                      <w:sz w:val="21"/>
                      <w:szCs w:val="21"/>
                      <w:highlight w:val="none"/>
                      <w14:textFill>
                        <w14:solidFill>
                          <w14:schemeClr w14:val="tx1"/>
                        </w14:solidFill>
                      </w14:textFill>
                    </w:rPr>
                    <w:t>分析可知本项</w:t>
                  </w:r>
                  <w:r>
                    <w:rPr>
                      <w:rFonts w:ascii="Times New Roman" w:hAnsi="Times New Roman" w:cs="Times New Roman"/>
                      <w:color w:val="000000" w:themeColor="text1"/>
                      <w:spacing w:val="4"/>
                      <w:sz w:val="21"/>
                      <w:szCs w:val="21"/>
                      <w:highlight w:val="none"/>
                      <w14:textFill>
                        <w14:solidFill>
                          <w14:schemeClr w14:val="tx1"/>
                        </w14:solidFill>
                      </w14:textFill>
                    </w:rPr>
                    <w:t>目符合绿色生产及管</w:t>
                  </w:r>
                  <w:r>
                    <w:rPr>
                      <w:rFonts w:ascii="Times New Roman" w:hAnsi="Times New Roman" w:cs="Times New Roman"/>
                      <w:color w:val="000000" w:themeColor="text1"/>
                      <w:spacing w:val="8"/>
                      <w:sz w:val="21"/>
                      <w:szCs w:val="21"/>
                      <w:highlight w:val="none"/>
                      <w14:textFill>
                        <w14:solidFill>
                          <w14:schemeClr w14:val="tx1"/>
                        </w14:solidFill>
                      </w14:textFill>
                    </w:rPr>
                    <w:t>理技术要求，本项目为新建，环保手续正</w:t>
                  </w:r>
                  <w:r>
                    <w:rPr>
                      <w:rFonts w:ascii="Times New Roman" w:hAnsi="Times New Roman" w:cs="Times New Roman"/>
                      <w:color w:val="000000" w:themeColor="text1"/>
                      <w:spacing w:val="7"/>
                      <w:sz w:val="21"/>
                      <w:szCs w:val="21"/>
                      <w:highlight w:val="none"/>
                      <w14:textFill>
                        <w14:solidFill>
                          <w14:schemeClr w14:val="tx1"/>
                        </w14:solidFill>
                      </w14:textFill>
                    </w:rPr>
                    <w:t>在办理中</w:t>
                  </w:r>
                </w:p>
              </w:tc>
              <w:tc>
                <w:tcPr>
                  <w:tcW w:w="482" w:type="pct"/>
                  <w:tcBorders>
                    <w:tl2br w:val="nil"/>
                    <w:tr2bl w:val="nil"/>
                  </w:tcBorders>
                  <w:shd w:val="clear" w:color="auto" w:fill="auto"/>
                  <w:vAlign w:val="center"/>
                </w:tcPr>
                <w:p w14:paraId="4F6F9D2D">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r w14:paraId="7CD487A0">
              <w:tblPrEx>
                <w:tblBorders>
                  <w:top w:val="single" w:color="000000" w:sz="6"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71" w:hRule="atLeast"/>
                <w:jc w:val="center"/>
              </w:trPr>
              <w:tc>
                <w:tcPr>
                  <w:tcW w:w="3390" w:type="pct"/>
                  <w:tcBorders>
                    <w:tl2br w:val="nil"/>
                    <w:tr2bl w:val="nil"/>
                  </w:tcBorders>
                  <w:shd w:val="clear" w:color="auto" w:fill="auto"/>
                  <w:vAlign w:val="center"/>
                </w:tcPr>
                <w:p w14:paraId="0E50FE66">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456"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预拌混凝土和预拌砂浆生产企业应严格执</w:t>
                  </w:r>
                  <w:r>
                    <w:rPr>
                      <w:rFonts w:ascii="Times New Roman" w:hAnsi="Times New Roman" w:cs="Times New Roman"/>
                      <w:color w:val="000000" w:themeColor="text1"/>
                      <w:spacing w:val="8"/>
                      <w:sz w:val="21"/>
                      <w:szCs w:val="21"/>
                      <w:highlight w:val="none"/>
                      <w14:textFill>
                        <w14:solidFill>
                          <w14:schemeClr w14:val="tx1"/>
                        </w14:solidFill>
                      </w14:textFill>
                    </w:rPr>
                    <w:t>行《</w:t>
                  </w:r>
                  <w:r>
                    <w:rPr>
                      <w:rFonts w:hint="eastAsia" w:ascii="Times New Roman" w:hAnsi="Times New Roman" w:cs="Times New Roman"/>
                      <w:color w:val="000000" w:themeColor="text1"/>
                      <w:spacing w:val="8"/>
                      <w:sz w:val="21"/>
                      <w:szCs w:val="21"/>
                      <w:highlight w:val="none"/>
                      <w:lang w:eastAsia="zh-CN"/>
                      <w14:textFill>
                        <w14:solidFill>
                          <w14:schemeClr w14:val="tx1"/>
                        </w14:solidFill>
                      </w14:textFill>
                    </w:rPr>
                    <w:t>预拌混凝土绿色生产及管理技术规程</w:t>
                  </w:r>
                  <w:r>
                    <w:rPr>
                      <w:rFonts w:ascii="Times New Roman" w:hAnsi="Times New Roman" w:cs="Times New Roman"/>
                      <w:color w:val="000000" w:themeColor="text1"/>
                      <w:spacing w:val="8"/>
                      <w:sz w:val="21"/>
                      <w:szCs w:val="21"/>
                      <w:highlight w:val="none"/>
                      <w14:textFill>
                        <w14:solidFill>
                          <w14:schemeClr w14:val="tx1"/>
                        </w14:solidFill>
                      </w14:textFill>
                    </w:rPr>
                    <w:t>》</w:t>
                  </w: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w:t>
                  </w:r>
                  <w:r>
                    <w:rPr>
                      <w:rFonts w:ascii="Times New Roman" w:hAnsi="Times New Roman" w:eastAsia="Times New Roman" w:cs="Times New Roman"/>
                      <w:color w:val="000000" w:themeColor="text1"/>
                      <w:sz w:val="21"/>
                      <w:szCs w:val="21"/>
                      <w:highlight w:val="none"/>
                      <w14:textFill>
                        <w14:solidFill>
                          <w14:schemeClr w14:val="tx1"/>
                        </w14:solidFill>
                      </w14:textFill>
                    </w:rPr>
                    <w:t>JGJ</w:t>
                  </w: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/T328-2014)</w:t>
                  </w:r>
                  <w:r>
                    <w:rPr>
                      <w:rFonts w:ascii="Times New Roman" w:hAnsi="Times New Roman" w:cs="Times New Roman"/>
                      <w:color w:val="000000" w:themeColor="text1"/>
                      <w:spacing w:val="7"/>
                      <w:sz w:val="21"/>
                      <w:szCs w:val="21"/>
                      <w:highlight w:val="none"/>
                      <w14:textFill>
                        <w14:solidFill>
                          <w14:schemeClr w14:val="tx1"/>
                        </w14:solidFill>
                      </w14:textFill>
                    </w:rPr>
                    <w:t>，所有料场应实施</w:t>
                  </w:r>
                  <w:r>
                    <w:rPr>
                      <w:rFonts w:ascii="Times New Roman" w:hAnsi="Times New Roman" w:cs="Times New Roman"/>
                      <w:color w:val="000000" w:themeColor="text1"/>
                      <w:spacing w:val="6"/>
                      <w:sz w:val="21"/>
                      <w:szCs w:val="21"/>
                      <w:highlight w:val="none"/>
                      <w14:textFill>
                        <w14:solidFill>
                          <w14:schemeClr w14:val="tx1"/>
                        </w14:solidFill>
                      </w14:textFill>
                    </w:rPr>
                    <w:t>封闭，并</w:t>
                  </w:r>
                  <w:r>
                    <w:rPr>
                      <w:rFonts w:ascii="Times New Roman" w:hAnsi="Times New Roman" w:cs="Times New Roman"/>
                      <w:color w:val="000000" w:themeColor="text1"/>
                      <w:spacing w:val="9"/>
                      <w:sz w:val="21"/>
                      <w:szCs w:val="21"/>
                      <w:highlight w:val="none"/>
                      <w14:textFill>
                        <w14:solidFill>
                          <w14:schemeClr w14:val="tx1"/>
                        </w14:solidFill>
                      </w14:textFill>
                    </w:rPr>
                    <w:t>设置喷淋降尘装置，严禁露天堆放；搅拌楼要整体封闭，上料、配料、输送廊道、搅拌等生产过程实行封闭运行，粉料筒仓应配置集尘除尘设施，做到定期检查、更换易损装置并建立管理台账，确保正常运转；对其他无法安装集尘除尘设施的扬尘点，要配置自动喷淋降尘设施。生产区场地应使用混凝土硬化，设置连环贯通的排水沟槽，污水、废水、胶凝材料浆水全部流入沉淀池进行回收处理循环利用，严禁未经处理的废水以及处理未达标的污水排入市政管网或外排。预拌混凝土运输车辆应采取预防渗漏措施，避免</w:t>
                  </w:r>
                  <w:r>
                    <w:rPr>
                      <w:rFonts w:ascii="Times New Roman" w:hAnsi="Times New Roman" w:cs="Times New Roman"/>
                      <w:color w:val="000000" w:themeColor="text1"/>
                      <w:spacing w:val="1"/>
                      <w:sz w:val="21"/>
                      <w:szCs w:val="21"/>
                      <w:highlight w:val="none"/>
                      <w14:textFill>
                        <w14:solidFill>
                          <w14:schemeClr w14:val="tx1"/>
                        </w14:solidFill>
                      </w14:textFill>
                    </w:rPr>
                    <w:t>在运输途中抛洒滴漏。散装水泥、砂浆储罐，</w:t>
                  </w:r>
                  <w:r>
                    <w:rPr>
                      <w:rFonts w:ascii="Times New Roman" w:hAnsi="Times New Roman" w:cs="Times New Roman"/>
                      <w:color w:val="000000" w:themeColor="text1"/>
                      <w:spacing w:val="9"/>
                      <w:sz w:val="21"/>
                      <w:szCs w:val="21"/>
                      <w:highlight w:val="none"/>
                      <w14:textFill>
                        <w14:solidFill>
                          <w14:schemeClr w14:val="tx1"/>
                        </w14:solidFill>
                      </w14:textFill>
                    </w:rPr>
                    <w:t>应采取除尘措施，避免爆管、冒顶、爆仓</w:t>
                  </w:r>
                </w:p>
              </w:tc>
              <w:tc>
                <w:tcPr>
                  <w:tcW w:w="1126" w:type="pct"/>
                  <w:tcBorders>
                    <w:tl2br w:val="nil"/>
                    <w:tr2bl w:val="nil"/>
                  </w:tcBorders>
                  <w:shd w:val="clear" w:color="auto" w:fill="auto"/>
                  <w:vAlign w:val="center"/>
                </w:tcPr>
                <w:p w14:paraId="02C0FDF1">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452" w:firstLineChars="200"/>
                    <w:jc w:val="left"/>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本项目成品堆场均密闭且设置喷淋降尘装</w:t>
                  </w:r>
                  <w:r>
                    <w:rPr>
                      <w:rFonts w:ascii="Times New Roman" w:hAnsi="Times New Roman" w:cs="Times New Roman"/>
                      <w:color w:val="000000" w:themeColor="text1"/>
                      <w:spacing w:val="-1"/>
                      <w:sz w:val="21"/>
                      <w:szCs w:val="21"/>
                      <w:highlight w:val="none"/>
                      <w14:textFill>
                        <w14:solidFill>
                          <w14:schemeClr w14:val="tx1"/>
                        </w14:solidFill>
                      </w14:textFill>
                    </w:rPr>
                    <w:t>置，搅拌楼整体封闭，</w:t>
                  </w:r>
                  <w:r>
                    <w:rPr>
                      <w:rFonts w:ascii="Times New Roman" w:hAnsi="Times New Roman" w:cs="Times New Roman"/>
                      <w:color w:val="000000" w:themeColor="text1"/>
                      <w:spacing w:val="9"/>
                      <w:sz w:val="21"/>
                      <w:szCs w:val="21"/>
                      <w:highlight w:val="none"/>
                      <w14:textFill>
                        <w14:solidFill>
                          <w14:schemeClr w14:val="tx1"/>
                        </w14:solidFill>
                      </w14:textFill>
                    </w:rPr>
                    <w:t>输料过程均为全自动</w:t>
                  </w:r>
                  <w:r>
                    <w:rPr>
                      <w:rFonts w:ascii="Times New Roman" w:hAnsi="Times New Roman" w:cs="Times New Roman"/>
                      <w:color w:val="000000" w:themeColor="text1"/>
                      <w:spacing w:val="8"/>
                      <w:sz w:val="21"/>
                      <w:szCs w:val="21"/>
                      <w:highlight w:val="none"/>
                      <w14:textFill>
                        <w14:solidFill>
                          <w14:schemeClr w14:val="tx1"/>
                        </w14:solidFill>
                      </w14:textFill>
                    </w:rPr>
                    <w:t>密闭，且筒仓均设置有除尘装置，厂区全面硬化，生产废水经</w:t>
                  </w:r>
                  <w:r>
                    <w:rPr>
                      <w:rFonts w:ascii="Times New Roman" w:hAnsi="Times New Roman" w:cs="Times New Roman"/>
                      <w:color w:val="000000" w:themeColor="text1"/>
                      <w:spacing w:val="7"/>
                      <w:sz w:val="21"/>
                      <w:szCs w:val="21"/>
                      <w:highlight w:val="none"/>
                      <w14:textFill>
                        <w14:solidFill>
                          <w14:schemeClr w14:val="tx1"/>
                        </w14:solidFill>
                      </w14:textFill>
                    </w:rPr>
                    <w:t>沉淀处理后不外排。</w:t>
                  </w:r>
                </w:p>
              </w:tc>
              <w:tc>
                <w:tcPr>
                  <w:tcW w:w="482" w:type="pct"/>
                  <w:tcBorders>
                    <w:tl2br w:val="nil"/>
                    <w:tr2bl w:val="nil"/>
                  </w:tcBorders>
                  <w:shd w:val="clear" w:color="auto" w:fill="auto"/>
                  <w:vAlign w:val="center"/>
                </w:tcPr>
                <w:p w14:paraId="1D38429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符合</w:t>
                  </w:r>
                </w:p>
              </w:tc>
            </w:tr>
          </w:tbl>
          <w:p w14:paraId="19DC4701">
            <w:pPr>
              <w:spacing w:beforeLines="0" w:afterLines="0" w:line="360" w:lineRule="auto"/>
              <w:ind w:firstLine="482" w:firstLineChars="200"/>
              <w:jc w:val="left"/>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cs="Times New Roman"/>
                <w:b/>
                <w:bCs w:val="0"/>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、项目与现有污染防治政策的符合性</w:t>
            </w:r>
          </w:p>
          <w:p w14:paraId="54618C62">
            <w:pPr>
              <w:spacing w:beforeLines="0" w:afterLines="0" w:line="360" w:lineRule="auto"/>
              <w:ind w:firstLine="482" w:firstLineChars="200"/>
              <w:jc w:val="left"/>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）与大气污染防治等相关规划符合性分析</w:t>
            </w:r>
          </w:p>
          <w:p w14:paraId="50EF884B">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本项目与大气相关规划的符合性如下：</w:t>
            </w:r>
          </w:p>
          <w:p w14:paraId="4203910E">
            <w:pPr>
              <w:spacing w:beforeLines="0" w:afterLines="0" w:line="360" w:lineRule="auto"/>
              <w:ind w:firstLine="0" w:firstLineChars="0"/>
              <w:jc w:val="cente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表1-</w:t>
            </w:r>
            <w:r>
              <w:rPr>
                <w:rFonts w:hint="eastAsia" w:cs="Times New Roman"/>
                <w:b/>
                <w:bCs w:val="0"/>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与大气污染防治等相关规划符合性</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45"/>
              <w:gridCol w:w="4148"/>
              <w:gridCol w:w="1606"/>
              <w:gridCol w:w="762"/>
            </w:tblGrid>
            <w:tr w14:paraId="3B4AD0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2" w:hRule="atLeast"/>
                <w:jc w:val="center"/>
              </w:trPr>
              <w:tc>
                <w:tcPr>
                  <w:tcW w:w="747" w:type="pct"/>
                  <w:tcBorders>
                    <w:tl2br w:val="nil"/>
                    <w:tr2bl w:val="nil"/>
                  </w:tcBorders>
                  <w:shd w:val="clear" w:color="auto" w:fill="auto"/>
                  <w:noWrap w:val="0"/>
                  <w:vAlign w:val="center"/>
                </w:tcPr>
                <w:p w14:paraId="1E6FD839">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规划文件名称</w:t>
                  </w:r>
                </w:p>
              </w:tc>
              <w:tc>
                <w:tcPr>
                  <w:tcW w:w="2706" w:type="pct"/>
                  <w:tcBorders>
                    <w:tl2br w:val="nil"/>
                    <w:tr2bl w:val="nil"/>
                  </w:tcBorders>
                  <w:shd w:val="clear" w:color="auto" w:fill="auto"/>
                  <w:noWrap w:val="0"/>
                  <w:vAlign w:val="center"/>
                </w:tcPr>
                <w:p w14:paraId="5143709B">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规范要求</w:t>
                  </w:r>
                </w:p>
              </w:tc>
              <w:tc>
                <w:tcPr>
                  <w:tcW w:w="1048" w:type="pct"/>
                  <w:tcBorders>
                    <w:tl2br w:val="nil"/>
                    <w:tr2bl w:val="nil"/>
                  </w:tcBorders>
                  <w:shd w:val="clear" w:color="auto" w:fill="auto"/>
                  <w:noWrap w:val="0"/>
                  <w:vAlign w:val="center"/>
                </w:tcPr>
                <w:p w14:paraId="7714C472">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项目情况</w:t>
                  </w:r>
                </w:p>
              </w:tc>
              <w:tc>
                <w:tcPr>
                  <w:tcW w:w="497" w:type="pct"/>
                  <w:tcBorders>
                    <w:tl2br w:val="nil"/>
                    <w:tr2bl w:val="nil"/>
                  </w:tcBorders>
                  <w:shd w:val="clear" w:color="auto" w:fill="auto"/>
                  <w:noWrap w:val="0"/>
                  <w:vAlign w:val="center"/>
                </w:tcPr>
                <w:p w14:paraId="7240516E">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符合性</w:t>
                  </w:r>
                </w:p>
              </w:tc>
            </w:tr>
            <w:tr w14:paraId="0A5347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96" w:hRule="atLeast"/>
                <w:jc w:val="center"/>
              </w:trPr>
              <w:tc>
                <w:tcPr>
                  <w:tcW w:w="747" w:type="pct"/>
                  <w:vMerge w:val="restart"/>
                  <w:tcBorders>
                    <w:tl2br w:val="nil"/>
                    <w:tr2bl w:val="nil"/>
                  </w:tcBorders>
                  <w:shd w:val="clear" w:color="auto" w:fill="auto"/>
                  <w:noWrap w:val="0"/>
                  <w:vAlign w:val="center"/>
                </w:tcPr>
                <w:p w14:paraId="15A54C2D">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大气污染防治行动计划</w:t>
                  </w:r>
                </w:p>
              </w:tc>
              <w:tc>
                <w:tcPr>
                  <w:tcW w:w="2706" w:type="pct"/>
                  <w:tcBorders>
                    <w:tl2br w:val="nil"/>
                    <w:tr2bl w:val="nil"/>
                  </w:tcBorders>
                  <w:shd w:val="clear" w:color="auto" w:fill="auto"/>
                  <w:noWrap w:val="0"/>
                  <w:vAlign w:val="center"/>
                </w:tcPr>
                <w:p w14:paraId="3F22303B">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1048" w:type="pct"/>
                  <w:tcBorders>
                    <w:tl2br w:val="nil"/>
                    <w:tr2bl w:val="nil"/>
                  </w:tcBorders>
                  <w:shd w:val="clear" w:color="auto" w:fill="auto"/>
                  <w:noWrap w:val="0"/>
                  <w:vAlign w:val="center"/>
                </w:tcPr>
                <w:p w14:paraId="049B5885">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不涉及</w:t>
                  </w:r>
                </w:p>
              </w:tc>
              <w:tc>
                <w:tcPr>
                  <w:tcW w:w="497" w:type="pct"/>
                  <w:tcBorders>
                    <w:tl2br w:val="nil"/>
                    <w:tr2bl w:val="nil"/>
                  </w:tcBorders>
                  <w:shd w:val="clear" w:color="auto" w:fill="auto"/>
                  <w:noWrap w:val="0"/>
                  <w:vAlign w:val="center"/>
                </w:tcPr>
                <w:p w14:paraId="3597D28D">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3A97CE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82" w:hRule="atLeast"/>
                <w:jc w:val="center"/>
              </w:trPr>
              <w:tc>
                <w:tcPr>
                  <w:tcW w:w="747" w:type="pct"/>
                  <w:vMerge w:val="continue"/>
                  <w:tcBorders>
                    <w:tl2br w:val="nil"/>
                    <w:tr2bl w:val="nil"/>
                  </w:tcBorders>
                  <w:shd w:val="clear" w:color="auto" w:fill="auto"/>
                  <w:noWrap w:val="0"/>
                  <w:vAlign w:val="center"/>
                </w:tcPr>
                <w:p w14:paraId="087DEBB5">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19EA9A86">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1048" w:type="pct"/>
                  <w:tcBorders>
                    <w:tl2br w:val="nil"/>
                    <w:tr2bl w:val="nil"/>
                  </w:tcBorders>
                  <w:shd w:val="clear" w:color="auto" w:fill="auto"/>
                  <w:noWrap w:val="0"/>
                  <w:vAlign w:val="center"/>
                </w:tcPr>
                <w:p w14:paraId="7473F75C">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项目</w:t>
                  </w:r>
                  <w:r>
                    <w:rPr>
                      <w:rFonts w:hint="default" w:ascii="Times New Roman" w:hAnsi="Times New Roman" w:cs="Times New Roman"/>
                      <w:bCs/>
                      <w:color w:val="000000" w:themeColor="text1"/>
                      <w:sz w:val="21"/>
                      <w:szCs w:val="21"/>
                      <w:highlight w:val="none"/>
                      <w14:textFill>
                        <w14:solidFill>
                          <w14:schemeClr w14:val="tx1"/>
                        </w14:solidFill>
                      </w14:textFill>
                    </w:rPr>
                    <w:t>施工期要求严格采取各项污染防治措施，务必确保“三废”达标排放和固废得到合理处理处置。</w:t>
                  </w:r>
                </w:p>
              </w:tc>
              <w:tc>
                <w:tcPr>
                  <w:tcW w:w="497" w:type="pct"/>
                  <w:tcBorders>
                    <w:tl2br w:val="nil"/>
                    <w:tr2bl w:val="nil"/>
                  </w:tcBorders>
                  <w:shd w:val="clear" w:color="auto" w:fill="auto"/>
                  <w:noWrap w:val="0"/>
                  <w:vAlign w:val="center"/>
                </w:tcPr>
                <w:p w14:paraId="43E41819">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0C6AA5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75" w:hRule="atLeast"/>
                <w:jc w:val="center"/>
              </w:trPr>
              <w:tc>
                <w:tcPr>
                  <w:tcW w:w="747" w:type="pct"/>
                  <w:vMerge w:val="continue"/>
                  <w:tcBorders>
                    <w:tl2br w:val="nil"/>
                    <w:tr2bl w:val="nil"/>
                  </w:tcBorders>
                  <w:shd w:val="clear" w:color="auto" w:fill="auto"/>
                  <w:noWrap w:val="0"/>
                  <w:vAlign w:val="center"/>
                </w:tcPr>
                <w:p w14:paraId="7639EA27">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051B8BBD">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推进挥发性有机物污染治理。在石化、有机化工、表面涂装、包装印刷等行业实施挥发性有机物综合整治，在石化行业开展“泄漏检测与修复”技术改造。限时完成加油站、储油库、油罐车的油气回收治理，在原油成品油码头积极开展油气回收治理。完善涂料、胶粘剂等产品挥发性有机物限值标准，推广使用水性涂料，鼓励生产、销售和使用低毒、低挥发性有机溶剂。</w:t>
                  </w:r>
                </w:p>
              </w:tc>
              <w:tc>
                <w:tcPr>
                  <w:tcW w:w="1048" w:type="pct"/>
                  <w:tcBorders>
                    <w:tl2br w:val="nil"/>
                    <w:tr2bl w:val="nil"/>
                  </w:tcBorders>
                  <w:shd w:val="clear" w:color="auto" w:fill="auto"/>
                  <w:noWrap w:val="0"/>
                  <w:vAlign w:val="center"/>
                </w:tcPr>
                <w:p w14:paraId="73DD933E">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cs="Times New Roman"/>
                      <w:bCs/>
                      <w:color w:val="000000" w:themeColor="text1"/>
                      <w:kern w:val="0"/>
                      <w:sz w:val="21"/>
                      <w:szCs w:val="21"/>
                      <w:highlight w:val="none"/>
                      <w:lang w:val="en-US"/>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不涉及挥发性有机物排放</w:t>
                  </w:r>
                </w:p>
              </w:tc>
              <w:tc>
                <w:tcPr>
                  <w:tcW w:w="497" w:type="pct"/>
                  <w:tcBorders>
                    <w:tl2br w:val="nil"/>
                    <w:tr2bl w:val="nil"/>
                  </w:tcBorders>
                  <w:shd w:val="clear" w:color="auto" w:fill="auto"/>
                  <w:noWrap w:val="0"/>
                  <w:vAlign w:val="center"/>
                </w:tcPr>
                <w:p w14:paraId="7B0DBD1C">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4412BE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2" w:hRule="atLeast"/>
                <w:jc w:val="center"/>
              </w:trPr>
              <w:tc>
                <w:tcPr>
                  <w:tcW w:w="747" w:type="pct"/>
                  <w:vMerge w:val="restart"/>
                  <w:tcBorders>
                    <w:tl2br w:val="nil"/>
                    <w:tr2bl w:val="nil"/>
                  </w:tcBorders>
                  <w:shd w:val="clear" w:color="auto" w:fill="auto"/>
                  <w:noWrap w:val="0"/>
                  <w:vAlign w:val="center"/>
                </w:tcPr>
                <w:p w14:paraId="07C550C7">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《中华人民共和国大气污染防治法》</w:t>
                  </w:r>
                </w:p>
              </w:tc>
              <w:tc>
                <w:tcPr>
                  <w:tcW w:w="2706" w:type="pct"/>
                  <w:tcBorders>
                    <w:tl2br w:val="nil"/>
                    <w:tr2bl w:val="nil"/>
                  </w:tcBorders>
                  <w:shd w:val="clear" w:color="auto" w:fill="auto"/>
                  <w:noWrap w:val="0"/>
                  <w:vAlign w:val="center"/>
                </w:tcPr>
                <w:p w14:paraId="33059803">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“第四十五条产生含挥发性有机物废气的生产和服务活动，应当在密闭空间或者设备中进行，并按照规定安装、使用污染防治设施；无法密闭的，应当采取措施减少废气排放。</w:t>
                  </w:r>
                </w:p>
              </w:tc>
              <w:tc>
                <w:tcPr>
                  <w:tcW w:w="1048" w:type="pct"/>
                  <w:tcBorders>
                    <w:tl2br w:val="nil"/>
                    <w:tr2bl w:val="nil"/>
                  </w:tcBorders>
                  <w:shd w:val="clear" w:color="auto" w:fill="auto"/>
                  <w:noWrap w:val="0"/>
                  <w:vAlign w:val="center"/>
                </w:tcPr>
                <w:p w14:paraId="2BE0B201">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不涉及挥发性有机物排放</w:t>
                  </w:r>
                </w:p>
              </w:tc>
              <w:tc>
                <w:tcPr>
                  <w:tcW w:w="497" w:type="pct"/>
                  <w:tcBorders>
                    <w:tl2br w:val="nil"/>
                    <w:tr2bl w:val="nil"/>
                  </w:tcBorders>
                  <w:shd w:val="clear" w:color="auto" w:fill="auto"/>
                  <w:noWrap w:val="0"/>
                  <w:vAlign w:val="center"/>
                </w:tcPr>
                <w:p w14:paraId="253032E1">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72F4F89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89" w:hRule="atLeast"/>
                <w:jc w:val="center"/>
              </w:trPr>
              <w:tc>
                <w:tcPr>
                  <w:tcW w:w="747" w:type="pct"/>
                  <w:vMerge w:val="continue"/>
                  <w:tcBorders>
                    <w:tl2br w:val="nil"/>
                    <w:tr2bl w:val="nil"/>
                  </w:tcBorders>
                  <w:shd w:val="clear" w:color="auto" w:fill="auto"/>
                  <w:noWrap w:val="0"/>
                  <w:vAlign w:val="center"/>
                </w:tcPr>
                <w:p w14:paraId="720F6D8C">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05057AC7">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048" w:type="pct"/>
                  <w:vMerge w:val="restart"/>
                  <w:tcBorders>
                    <w:tl2br w:val="nil"/>
                    <w:tr2bl w:val="nil"/>
                  </w:tcBorders>
                  <w:shd w:val="clear" w:color="auto" w:fill="auto"/>
                  <w:noWrap w:val="0"/>
                  <w:vAlign w:val="center"/>
                </w:tcPr>
                <w:p w14:paraId="5381B252">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不属于钢铁、建材、有色金属、石油、化工等企业</w:t>
                  </w:r>
                </w:p>
              </w:tc>
              <w:tc>
                <w:tcPr>
                  <w:tcW w:w="497" w:type="pct"/>
                  <w:tcBorders>
                    <w:tl2br w:val="nil"/>
                    <w:tr2bl w:val="nil"/>
                  </w:tcBorders>
                  <w:shd w:val="clear" w:color="auto" w:fill="auto"/>
                  <w:noWrap w:val="0"/>
                  <w:vAlign w:val="center"/>
                </w:tcPr>
                <w:p w14:paraId="2A756F9A">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5BF8F2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82" w:hRule="atLeast"/>
                <w:jc w:val="center"/>
              </w:trPr>
              <w:tc>
                <w:tcPr>
                  <w:tcW w:w="747" w:type="pct"/>
                  <w:vMerge w:val="continue"/>
                  <w:tcBorders>
                    <w:tl2br w:val="nil"/>
                    <w:tr2bl w:val="nil"/>
                  </w:tcBorders>
                  <w:shd w:val="clear" w:color="auto" w:fill="auto"/>
                  <w:noWrap w:val="0"/>
                  <w:vAlign w:val="center"/>
                </w:tcPr>
                <w:p w14:paraId="194121DF">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43920BA9">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第四十八条　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048" w:type="pct"/>
                  <w:vMerge w:val="continue"/>
                  <w:tcBorders>
                    <w:tl2br w:val="nil"/>
                    <w:tr2bl w:val="nil"/>
                  </w:tcBorders>
                  <w:shd w:val="clear" w:color="auto" w:fill="auto"/>
                  <w:noWrap w:val="0"/>
                  <w:vAlign w:val="center"/>
                </w:tcPr>
                <w:p w14:paraId="6E4F23B1">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p>
              </w:tc>
              <w:tc>
                <w:tcPr>
                  <w:tcW w:w="497" w:type="pct"/>
                  <w:tcBorders>
                    <w:tl2br w:val="nil"/>
                    <w:tr2bl w:val="nil"/>
                  </w:tcBorders>
                  <w:shd w:val="clear" w:color="auto" w:fill="auto"/>
                  <w:noWrap w:val="0"/>
                  <w:vAlign w:val="center"/>
                </w:tcPr>
                <w:p w14:paraId="2F0805EA">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79B806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89" w:hRule="atLeast"/>
                <w:jc w:val="center"/>
              </w:trPr>
              <w:tc>
                <w:tcPr>
                  <w:tcW w:w="747" w:type="pct"/>
                  <w:vMerge w:val="restart"/>
                  <w:tcBorders>
                    <w:tl2br w:val="nil"/>
                    <w:tr2bl w:val="nil"/>
                  </w:tcBorders>
                  <w:shd w:val="clear" w:color="auto" w:fill="auto"/>
                  <w:noWrap w:val="0"/>
                  <w:vAlign w:val="center"/>
                </w:tcPr>
                <w:p w14:paraId="6491F6B3">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打赢蓝天保卫战三年行动计划</w:t>
                  </w:r>
                </w:p>
              </w:tc>
              <w:tc>
                <w:tcPr>
                  <w:tcW w:w="2706" w:type="pct"/>
                  <w:tcBorders>
                    <w:tl2br w:val="nil"/>
                    <w:tr2bl w:val="nil"/>
                  </w:tcBorders>
                  <w:shd w:val="clear" w:color="auto" w:fill="auto"/>
                  <w:noWrap w:val="0"/>
                  <w:vAlign w:val="center"/>
                </w:tcPr>
                <w:p w14:paraId="2B05A4E5">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县级及以上城市建成区基本淘汰每小时10蒸吨及以下燃煤锅炉及茶水炉、经营性炉灶、储粮烘干设备等燃煤设施，原则上不再新建每小时35蒸吨以下的燃煤锅炉，其他地区原则上不再新建每小时10蒸吨以下的燃煤锅炉。</w:t>
                  </w:r>
                </w:p>
              </w:tc>
              <w:tc>
                <w:tcPr>
                  <w:tcW w:w="1048" w:type="pct"/>
                  <w:tcBorders>
                    <w:tl2br w:val="nil"/>
                    <w:tr2bl w:val="nil"/>
                  </w:tcBorders>
                  <w:shd w:val="clear" w:color="auto" w:fill="auto"/>
                  <w:noWrap w:val="0"/>
                  <w:vAlign w:val="center"/>
                </w:tcPr>
                <w:p w14:paraId="6DA5D2DD">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项目不使用燃煤。</w:t>
                  </w:r>
                </w:p>
              </w:tc>
              <w:tc>
                <w:tcPr>
                  <w:tcW w:w="497" w:type="pct"/>
                  <w:tcBorders>
                    <w:tl2br w:val="nil"/>
                    <w:tr2bl w:val="nil"/>
                  </w:tcBorders>
                  <w:shd w:val="clear" w:color="auto" w:fill="auto"/>
                  <w:noWrap w:val="0"/>
                  <w:vAlign w:val="center"/>
                </w:tcPr>
                <w:p w14:paraId="5D457A47">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153CF7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747" w:type="pct"/>
                  <w:vMerge w:val="continue"/>
                  <w:tcBorders>
                    <w:tl2br w:val="nil"/>
                    <w:tr2bl w:val="nil"/>
                  </w:tcBorders>
                  <w:shd w:val="clear" w:color="auto" w:fill="auto"/>
                  <w:noWrap w:val="0"/>
                  <w:vAlign w:val="center"/>
                </w:tcPr>
                <w:p w14:paraId="49075441">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3A42F560">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w:t>
                  </w:r>
                </w:p>
              </w:tc>
              <w:tc>
                <w:tcPr>
                  <w:tcW w:w="1048" w:type="pct"/>
                  <w:tcBorders>
                    <w:tl2br w:val="nil"/>
                    <w:tr2bl w:val="nil"/>
                  </w:tcBorders>
                  <w:shd w:val="clear" w:color="auto" w:fill="auto"/>
                  <w:noWrap w:val="0"/>
                  <w:vAlign w:val="center"/>
                </w:tcPr>
                <w:p w14:paraId="521D0B54">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项目</w:t>
                  </w:r>
                  <w:r>
                    <w:rPr>
                      <w:rFonts w:hint="default" w:ascii="Times New Roman" w:hAnsi="Times New Roman" w:cs="Times New Roman"/>
                      <w:bCs/>
                      <w:color w:val="000000" w:themeColor="text1"/>
                      <w:sz w:val="21"/>
                      <w:szCs w:val="21"/>
                      <w:highlight w:val="none"/>
                      <w14:textFill>
                        <w14:solidFill>
                          <w14:schemeClr w14:val="tx1"/>
                        </w14:solidFill>
                      </w14:textFill>
                    </w:rPr>
                    <w:t>施工期要求严格采取各项污染防治措施，务必确保“三废”达标排放和固废得到合理处理处置。</w:t>
                  </w:r>
                </w:p>
              </w:tc>
              <w:tc>
                <w:tcPr>
                  <w:tcW w:w="497" w:type="pct"/>
                  <w:tcBorders>
                    <w:tl2br w:val="nil"/>
                    <w:tr2bl w:val="nil"/>
                  </w:tcBorders>
                  <w:shd w:val="clear" w:color="auto" w:fill="auto"/>
                  <w:noWrap w:val="0"/>
                  <w:vAlign w:val="center"/>
                </w:tcPr>
                <w:p w14:paraId="0141C004">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2F9560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5" w:hRule="atLeast"/>
                <w:jc w:val="center"/>
              </w:trPr>
              <w:tc>
                <w:tcPr>
                  <w:tcW w:w="747" w:type="pct"/>
                  <w:vMerge w:val="continue"/>
                  <w:tcBorders>
                    <w:tl2br w:val="nil"/>
                    <w:tr2bl w:val="nil"/>
                  </w:tcBorders>
                  <w:shd w:val="clear" w:color="auto" w:fill="auto"/>
                  <w:noWrap w:val="0"/>
                  <w:vAlign w:val="center"/>
                </w:tcPr>
                <w:p w14:paraId="74F22F28">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706" w:type="pct"/>
                  <w:tcBorders>
                    <w:tl2br w:val="nil"/>
                    <w:tr2bl w:val="nil"/>
                  </w:tcBorders>
                  <w:shd w:val="clear" w:color="auto" w:fill="auto"/>
                  <w:noWrap w:val="0"/>
                  <w:vAlign w:val="center"/>
                </w:tcPr>
                <w:p w14:paraId="4B30A262">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制定石化、化工、工业涂装、包装印刷等VOCs排放重点行业和油品储运销综合整治方案，出台泄漏检测与修复标准，编制VOCs治理技术指南。重点区域禁止建设生产和使用高VOCs含量的溶剂型涂料、油墨、胶粘剂等项目，加大餐饮油烟治理力度。</w:t>
                  </w:r>
                </w:p>
              </w:tc>
              <w:tc>
                <w:tcPr>
                  <w:tcW w:w="1048" w:type="pct"/>
                  <w:tcBorders>
                    <w:tl2br w:val="nil"/>
                    <w:tr2bl w:val="nil"/>
                  </w:tcBorders>
                  <w:shd w:val="clear" w:color="auto" w:fill="auto"/>
                  <w:noWrap w:val="0"/>
                  <w:vAlign w:val="center"/>
                </w:tcPr>
                <w:p w14:paraId="75B5CCAA">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不涉及挥发性有机物排放</w:t>
                  </w:r>
                </w:p>
              </w:tc>
              <w:tc>
                <w:tcPr>
                  <w:tcW w:w="497" w:type="pct"/>
                  <w:tcBorders>
                    <w:tl2br w:val="nil"/>
                    <w:tr2bl w:val="nil"/>
                  </w:tcBorders>
                  <w:shd w:val="clear" w:color="auto" w:fill="auto"/>
                  <w:noWrap w:val="0"/>
                  <w:vAlign w:val="center"/>
                </w:tcPr>
                <w:p w14:paraId="64798E6B">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56FFD0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40" w:hRule="atLeast"/>
                <w:jc w:val="center"/>
              </w:trPr>
              <w:tc>
                <w:tcPr>
                  <w:tcW w:w="747" w:type="pct"/>
                  <w:tcBorders>
                    <w:tl2br w:val="nil"/>
                    <w:tr2bl w:val="nil"/>
                  </w:tcBorders>
                  <w:shd w:val="clear" w:color="auto" w:fill="auto"/>
                  <w:noWrap w:val="0"/>
                  <w:vAlign w:val="center"/>
                </w:tcPr>
                <w:p w14:paraId="08B8F590">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《四川省人民政府关于印发四川省打赢蓝天保卫战等九个实施方案的通知》（川府发[2019]4</w:t>
                  </w:r>
                </w:p>
                <w:p w14:paraId="26BAF359">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号）</w:t>
                  </w:r>
                </w:p>
              </w:tc>
              <w:tc>
                <w:tcPr>
                  <w:tcW w:w="2706" w:type="pct"/>
                  <w:tcBorders>
                    <w:tl2br w:val="nil"/>
                    <w:tr2bl w:val="nil"/>
                  </w:tcBorders>
                  <w:shd w:val="clear" w:color="auto" w:fill="auto"/>
                  <w:noWrap w:val="0"/>
                  <w:vAlign w:val="center"/>
                </w:tcPr>
                <w:p w14:paraId="1A0D21F0">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1048" w:type="pct"/>
                  <w:tcBorders>
                    <w:tl2br w:val="nil"/>
                    <w:tr2bl w:val="nil"/>
                  </w:tcBorders>
                  <w:shd w:val="clear" w:color="auto" w:fill="auto"/>
                  <w:noWrap w:val="0"/>
                  <w:vAlign w:val="center"/>
                </w:tcPr>
                <w:p w14:paraId="483EE6C4">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本项目堆场设置为全密闭车间，进出口设挂帘，项目涉及物料</w:t>
                  </w: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卸料</w:t>
                  </w:r>
                  <w:r>
                    <w:rPr>
                      <w:rFonts w:hint="default" w:ascii="Times New Roman" w:hAnsi="Times New Roman" w:cs="Times New Roman"/>
                      <w:bCs/>
                      <w:color w:val="000000" w:themeColor="text1"/>
                      <w:kern w:val="0"/>
                      <w:sz w:val="21"/>
                      <w:szCs w:val="21"/>
                      <w:highlight w:val="none"/>
                      <w14:textFill>
                        <w14:solidFill>
                          <w14:schemeClr w14:val="tx1"/>
                        </w14:solidFill>
                      </w14:textFill>
                    </w:rPr>
                    <w:t>的作业均在封闭堆场内进行，设喷雾等防尘设施，传输带均采用密闭输送。厂区运输道路硬化，并定期洒水降尘。厂区内设置了车辆冲洗设施，运输车辆均实施密闭运输，并定期安排工作人员清理厂区道路上洒落的物料</w:t>
                  </w:r>
                </w:p>
              </w:tc>
              <w:tc>
                <w:tcPr>
                  <w:tcW w:w="497" w:type="pct"/>
                  <w:tcBorders>
                    <w:tl2br w:val="nil"/>
                    <w:tr2bl w:val="nil"/>
                  </w:tcBorders>
                  <w:shd w:val="clear" w:color="auto" w:fill="auto"/>
                  <w:noWrap w:val="0"/>
                  <w:vAlign w:val="center"/>
                </w:tcPr>
                <w:p w14:paraId="46F87C33">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D43A61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91" w:hRule="atLeast"/>
                <w:jc w:val="center"/>
              </w:trPr>
              <w:tc>
                <w:tcPr>
                  <w:tcW w:w="747" w:type="pct"/>
                  <w:tcBorders>
                    <w:tl2br w:val="nil"/>
                    <w:tr2bl w:val="nil"/>
                  </w:tcBorders>
                  <w:shd w:val="clear" w:color="auto" w:fill="auto"/>
                  <w:noWrap w:val="0"/>
                  <w:vAlign w:val="center"/>
                </w:tcPr>
                <w:p w14:paraId="300D0D3F">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《甘孜藏族自治州人民政府关于印发甘孜州打赢蓝天保卫战等九个实施方案的通知》（甘府发</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2019</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222号）</w:t>
                  </w:r>
                </w:p>
              </w:tc>
              <w:tc>
                <w:tcPr>
                  <w:tcW w:w="2706" w:type="pct"/>
                  <w:tcBorders>
                    <w:tl2br w:val="nil"/>
                    <w:tr2bl w:val="nil"/>
                  </w:tcBorders>
                  <w:shd w:val="clear" w:color="auto" w:fill="auto"/>
                  <w:noWrap w:val="0"/>
                  <w:vAlign w:val="center"/>
                </w:tcPr>
                <w:p w14:paraId="306E34B6">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（四）加强扬尘管控，提高城市环境管理水平。加强预拌混凝土和预拌砂浆搅拌站扬尘防治，严格执行《预拌混凝土绿色生产及技术管理规程》严禁在禁搅区内现场搅拌混凝土......推进全州绿色搅拌站建设。</w:t>
                  </w:r>
                </w:p>
              </w:tc>
              <w:tc>
                <w:tcPr>
                  <w:tcW w:w="1048" w:type="pct"/>
                  <w:tcBorders>
                    <w:tl2br w:val="nil"/>
                    <w:tr2bl w:val="nil"/>
                  </w:tcBorders>
                  <w:shd w:val="clear" w:color="auto" w:fill="auto"/>
                  <w:noWrap w:val="0"/>
                  <w:vAlign w:val="center"/>
                </w:tcPr>
                <w:p w14:paraId="736599F4">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left"/>
                    <w:textAlignment w:val="auto"/>
                    <w:rPr>
                      <w:rFonts w:hint="default"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本项目为混凝土搅拌站，严格落实《预拌混凝土绿色生产及技术管理规程》相关要求，所在位置不属于禁搅区</w:t>
                  </w:r>
                </w:p>
              </w:tc>
              <w:tc>
                <w:tcPr>
                  <w:tcW w:w="497" w:type="pct"/>
                  <w:tcBorders>
                    <w:tl2br w:val="nil"/>
                    <w:tr2bl w:val="nil"/>
                  </w:tcBorders>
                  <w:shd w:val="clear" w:color="auto" w:fill="auto"/>
                  <w:noWrap w:val="0"/>
                  <w:vAlign w:val="center"/>
                </w:tcPr>
                <w:p w14:paraId="41CE5F18">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14:paraId="202C47E4">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综上所述，本项目位于</w:t>
            </w:r>
            <w:r>
              <w:rPr>
                <w:rFonts w:hint="default" w:ascii="Times New Roman" w:hAnsi="Times New Roman" w:cs="Times New Roman"/>
                <w:b w:val="0"/>
                <w:bCs/>
                <w:color w:val="000000" w:themeColor="text1"/>
                <w:kern w:val="0"/>
                <w:sz w:val="24"/>
                <w:szCs w:val="24"/>
                <w:highlight w:val="none"/>
                <w:lang w:eastAsia="zh-CN"/>
                <w14:textFill>
                  <w14:solidFill>
                    <w14:schemeClr w14:val="tx1"/>
                  </w14:solidFill>
                </w14:textFill>
              </w:rPr>
              <w:t>四川省甘孜藏族自治州甘孜镇斯俄村</w:t>
            </w: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，本项目不涉及燃煤锅炉的建设，针对各废气污染源采取先进的污染治理设施，确保污染物达标排放。因此，与大气相关要求相符。</w:t>
            </w:r>
          </w:p>
          <w:p w14:paraId="0B87D861">
            <w:pPr>
              <w:spacing w:beforeLines="0" w:afterLines="0" w:line="360" w:lineRule="auto"/>
              <w:ind w:firstLine="482" w:firstLineChars="200"/>
              <w:jc w:val="left"/>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）与水污染防治行动计划符合性分析</w:t>
            </w:r>
          </w:p>
          <w:p w14:paraId="2D88F3C2">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项目与水污染防治行动计划的符合性分析情况见下表。</w:t>
            </w:r>
          </w:p>
          <w:p w14:paraId="123720D0">
            <w:pPr>
              <w:spacing w:beforeLines="0" w:afterLines="0" w:line="360" w:lineRule="auto"/>
              <w:jc w:val="center"/>
              <w:rPr>
                <w:rFonts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表1-</w:t>
            </w:r>
            <w:r>
              <w:rPr>
                <w:rFonts w:hint="eastAsia"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b/>
                <w:color w:val="000000" w:themeColor="text1"/>
                <w:sz w:val="24"/>
                <w:szCs w:val="24"/>
                <w:highlight w:val="none"/>
                <w14:textFill>
                  <w14:solidFill>
                    <w14:schemeClr w14:val="tx1"/>
                  </w14:solidFill>
                </w14:textFill>
              </w:rPr>
              <w:t>项目与水污染防治行动计划的符合性分析表</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05"/>
              <w:gridCol w:w="3865"/>
              <w:gridCol w:w="1320"/>
              <w:gridCol w:w="1171"/>
            </w:tblGrid>
            <w:tr w14:paraId="726082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5" w:hRule="atLeast"/>
                <w:jc w:val="center"/>
              </w:trPr>
              <w:tc>
                <w:tcPr>
                  <w:tcW w:w="852" w:type="pct"/>
                  <w:tcBorders>
                    <w:tl2br w:val="nil"/>
                    <w:tr2bl w:val="nil"/>
                  </w:tcBorders>
                  <w:shd w:val="clear" w:color="auto" w:fill="auto"/>
                  <w:noWrap w:val="0"/>
                  <w:vAlign w:val="center"/>
                </w:tcPr>
                <w:p w14:paraId="28C9E7C6">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规划文件名称</w:t>
                  </w:r>
                </w:p>
              </w:tc>
              <w:tc>
                <w:tcPr>
                  <w:tcW w:w="2522" w:type="pct"/>
                  <w:tcBorders>
                    <w:tl2br w:val="nil"/>
                    <w:tr2bl w:val="nil"/>
                  </w:tcBorders>
                  <w:shd w:val="clear" w:color="auto" w:fill="auto"/>
                  <w:noWrap w:val="0"/>
                  <w:vAlign w:val="center"/>
                </w:tcPr>
                <w:p w14:paraId="604E55B9">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规范要求</w:t>
                  </w:r>
                </w:p>
              </w:tc>
              <w:tc>
                <w:tcPr>
                  <w:tcW w:w="861" w:type="pct"/>
                  <w:tcBorders>
                    <w:tl2br w:val="nil"/>
                    <w:tr2bl w:val="nil"/>
                  </w:tcBorders>
                  <w:shd w:val="clear" w:color="auto" w:fill="auto"/>
                  <w:noWrap w:val="0"/>
                  <w:vAlign w:val="center"/>
                </w:tcPr>
                <w:p w14:paraId="1DC5FD91">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项目情况</w:t>
                  </w:r>
                </w:p>
              </w:tc>
              <w:tc>
                <w:tcPr>
                  <w:tcW w:w="764" w:type="pct"/>
                  <w:tcBorders>
                    <w:tl2br w:val="nil"/>
                    <w:tr2bl w:val="nil"/>
                  </w:tcBorders>
                  <w:shd w:val="clear" w:color="auto" w:fill="auto"/>
                  <w:noWrap w:val="0"/>
                  <w:vAlign w:val="center"/>
                </w:tcPr>
                <w:p w14:paraId="1B733999">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符合性分析</w:t>
                  </w:r>
                </w:p>
              </w:tc>
            </w:tr>
            <w:tr w14:paraId="07EFBA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35" w:hRule="atLeast"/>
                <w:jc w:val="center"/>
              </w:trPr>
              <w:tc>
                <w:tcPr>
                  <w:tcW w:w="852" w:type="pct"/>
                  <w:vMerge w:val="restart"/>
                  <w:tcBorders>
                    <w:tl2br w:val="nil"/>
                    <w:tr2bl w:val="nil"/>
                  </w:tcBorders>
                  <w:shd w:val="clear" w:color="auto" w:fill="auto"/>
                  <w:noWrap w:val="0"/>
                  <w:vAlign w:val="center"/>
                </w:tcPr>
                <w:p w14:paraId="4AE7EC84">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0"/>
                      <w:sz w:val="21"/>
                      <w:szCs w:val="21"/>
                      <w:highlight w:val="none"/>
                      <w14:textFill>
                        <w14:solidFill>
                          <w14:schemeClr w14:val="tx1"/>
                        </w14:solidFill>
                      </w14:textFill>
                    </w:rPr>
                    <w:t>水污染防治行动计划</w:t>
                  </w:r>
                </w:p>
              </w:tc>
              <w:tc>
                <w:tcPr>
                  <w:tcW w:w="2522" w:type="pct"/>
                  <w:tcBorders>
                    <w:tl2br w:val="nil"/>
                    <w:tr2bl w:val="nil"/>
                  </w:tcBorders>
                  <w:shd w:val="clear" w:color="auto" w:fill="auto"/>
                  <w:noWrap w:val="0"/>
                  <w:vAlign w:val="center"/>
                </w:tcPr>
                <w:p w14:paraId="3FCFE35F">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861" w:type="pct"/>
                  <w:tcBorders>
                    <w:tl2br w:val="nil"/>
                    <w:tr2bl w:val="nil"/>
                  </w:tcBorders>
                  <w:shd w:val="clear" w:color="auto" w:fill="auto"/>
                  <w:noWrap w:val="0"/>
                  <w:vAlign w:val="center"/>
                </w:tcPr>
                <w:p w14:paraId="1DDA337E">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项目不属于“十小”企业。</w:t>
                  </w:r>
                </w:p>
              </w:tc>
              <w:tc>
                <w:tcPr>
                  <w:tcW w:w="764" w:type="pct"/>
                  <w:tcBorders>
                    <w:tl2br w:val="nil"/>
                    <w:tr2bl w:val="nil"/>
                  </w:tcBorders>
                  <w:shd w:val="clear" w:color="auto" w:fill="auto"/>
                  <w:noWrap w:val="0"/>
                  <w:vAlign w:val="center"/>
                </w:tcPr>
                <w:p w14:paraId="19FF635E">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283491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852" w:type="pct"/>
                  <w:vMerge w:val="continue"/>
                  <w:tcBorders>
                    <w:tl2br w:val="nil"/>
                    <w:tr2bl w:val="nil"/>
                  </w:tcBorders>
                  <w:shd w:val="clear" w:color="auto" w:fill="auto"/>
                  <w:noWrap w:val="0"/>
                  <w:vAlign w:val="center"/>
                </w:tcPr>
                <w:p w14:paraId="481CB764">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522" w:type="pct"/>
                  <w:tcBorders>
                    <w:tl2br w:val="nil"/>
                    <w:tr2bl w:val="nil"/>
                  </w:tcBorders>
                  <w:shd w:val="clear" w:color="auto" w:fill="auto"/>
                  <w:noWrap w:val="0"/>
                  <w:vAlign w:val="center"/>
                </w:tcPr>
                <w:p w14:paraId="14FFB085">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制定造纸、焦化、氮肥、有色金属、印染、农副食品加工、原料药制造、制革、农药、电镀等行业专项治理方案，实施清洁化改造。新建、改建、扩建上述行业建设项目实行主要污染物排放等量或减量置换。</w:t>
                  </w:r>
                </w:p>
              </w:tc>
              <w:tc>
                <w:tcPr>
                  <w:tcW w:w="861" w:type="pct"/>
                  <w:tcBorders>
                    <w:tl2br w:val="nil"/>
                    <w:tr2bl w:val="nil"/>
                  </w:tcBorders>
                  <w:shd w:val="clear" w:color="auto" w:fill="auto"/>
                  <w:noWrap w:val="0"/>
                  <w:vAlign w:val="center"/>
                </w:tcPr>
                <w:p w14:paraId="1489D5B9">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项目不涉及废水总量控制指标。</w:t>
                  </w:r>
                </w:p>
              </w:tc>
              <w:tc>
                <w:tcPr>
                  <w:tcW w:w="764" w:type="pct"/>
                  <w:tcBorders>
                    <w:tl2br w:val="nil"/>
                    <w:tr2bl w:val="nil"/>
                  </w:tcBorders>
                  <w:shd w:val="clear" w:color="auto" w:fill="auto"/>
                  <w:noWrap w:val="0"/>
                  <w:vAlign w:val="center"/>
                </w:tcPr>
                <w:p w14:paraId="000C7A4B">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0F2E50E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7" w:hRule="atLeast"/>
                <w:jc w:val="center"/>
              </w:trPr>
              <w:tc>
                <w:tcPr>
                  <w:tcW w:w="852" w:type="pct"/>
                  <w:vMerge w:val="continue"/>
                  <w:tcBorders>
                    <w:tl2br w:val="nil"/>
                    <w:tr2bl w:val="nil"/>
                  </w:tcBorders>
                  <w:shd w:val="clear" w:color="auto" w:fill="auto"/>
                  <w:noWrap w:val="0"/>
                  <w:vAlign w:val="center"/>
                </w:tcPr>
                <w:p w14:paraId="09BB8846">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522" w:type="pct"/>
                  <w:tcBorders>
                    <w:tl2br w:val="nil"/>
                    <w:tr2bl w:val="nil"/>
                  </w:tcBorders>
                  <w:shd w:val="clear" w:color="auto" w:fill="auto"/>
                  <w:noWrap w:val="0"/>
                  <w:vAlign w:val="center"/>
                </w:tcPr>
                <w:p w14:paraId="70580E5A">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集聚区内工业废水必须经预处理达到集中处理要求，方可进入污水集中处理设施。新建、升级工业集聚区应同步规划、建设污水、垃圾集中处理等污染治理设施。</w:t>
                  </w:r>
                </w:p>
              </w:tc>
              <w:tc>
                <w:tcPr>
                  <w:tcW w:w="861" w:type="pct"/>
                  <w:tcBorders>
                    <w:tl2br w:val="nil"/>
                    <w:tr2bl w:val="nil"/>
                  </w:tcBorders>
                  <w:shd w:val="clear" w:color="auto" w:fill="auto"/>
                  <w:noWrap w:val="0"/>
                  <w:vAlign w:val="center"/>
                </w:tcPr>
                <w:p w14:paraId="558892CB">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w:t>
                  </w:r>
                  <w:r>
                    <w:rPr>
                      <w:rFonts w:hint="eastAsia" w:cs="Times New Roman"/>
                      <w:color w:val="000000" w:themeColor="text1"/>
                      <w:kern w:val="0"/>
                      <w:sz w:val="21"/>
                      <w:szCs w:val="21"/>
                      <w:highlight w:val="none"/>
                      <w:lang w:val="en-US" w:eastAsia="zh-CN"/>
                      <w14:textFill>
                        <w14:solidFill>
                          <w14:schemeClr w14:val="tx1"/>
                        </w14:solidFill>
                      </w14:textFill>
                    </w:rPr>
                    <w:t>生产</w:t>
                  </w:r>
                  <w:r>
                    <w:rPr>
                      <w:rFonts w:hint="default" w:ascii="Times New Roman" w:hAnsi="Times New Roman" w:cs="Times New Roman"/>
                      <w:color w:val="000000" w:themeColor="text1"/>
                      <w:kern w:val="0"/>
                      <w:sz w:val="21"/>
                      <w:szCs w:val="21"/>
                      <w:highlight w:val="none"/>
                      <w14:textFill>
                        <w14:solidFill>
                          <w14:schemeClr w14:val="tx1"/>
                        </w14:solidFill>
                      </w14:textFill>
                    </w:rPr>
                    <w:t>废水不外排</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生活污水进入污水处理厂处理后达标排放</w:t>
                  </w:r>
                </w:p>
              </w:tc>
              <w:tc>
                <w:tcPr>
                  <w:tcW w:w="764" w:type="pct"/>
                  <w:tcBorders>
                    <w:tl2br w:val="nil"/>
                    <w:tr2bl w:val="nil"/>
                  </w:tcBorders>
                  <w:shd w:val="clear" w:color="auto" w:fill="auto"/>
                  <w:noWrap w:val="0"/>
                  <w:vAlign w:val="center"/>
                </w:tcPr>
                <w:p w14:paraId="6AB9CA86">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432EF8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35" w:hRule="atLeast"/>
                <w:jc w:val="center"/>
              </w:trPr>
              <w:tc>
                <w:tcPr>
                  <w:tcW w:w="852" w:type="pct"/>
                  <w:vMerge w:val="restart"/>
                  <w:tcBorders>
                    <w:tl2br w:val="nil"/>
                    <w:tr2bl w:val="nil"/>
                  </w:tcBorders>
                  <w:shd w:val="clear" w:color="auto" w:fill="auto"/>
                  <w:noWrap w:val="0"/>
                  <w:vAlign w:val="center"/>
                </w:tcPr>
                <w:p w14:paraId="144A2911">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水污染防治行动计划四川省工作方案</w:t>
                  </w:r>
                </w:p>
              </w:tc>
              <w:tc>
                <w:tcPr>
                  <w:tcW w:w="2522" w:type="pct"/>
                  <w:tcBorders>
                    <w:tl2br w:val="nil"/>
                    <w:tr2bl w:val="nil"/>
                  </w:tcBorders>
                  <w:shd w:val="clear" w:color="auto" w:fill="auto"/>
                  <w:noWrap w:val="0"/>
                  <w:vAlign w:val="center"/>
                </w:tcPr>
                <w:p w14:paraId="33AE8D4F">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tc>
              <w:tc>
                <w:tcPr>
                  <w:tcW w:w="861" w:type="pct"/>
                  <w:tcBorders>
                    <w:tl2br w:val="nil"/>
                    <w:tr2bl w:val="nil"/>
                  </w:tcBorders>
                  <w:shd w:val="clear" w:color="auto" w:fill="auto"/>
                  <w:noWrap w:val="0"/>
                  <w:vAlign w:val="center"/>
                </w:tcPr>
                <w:p w14:paraId="1DCCE4B6">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项目不属于“十小”企业。</w:t>
                  </w:r>
                </w:p>
              </w:tc>
              <w:tc>
                <w:tcPr>
                  <w:tcW w:w="764" w:type="pct"/>
                  <w:tcBorders>
                    <w:tl2br w:val="nil"/>
                    <w:tr2bl w:val="nil"/>
                  </w:tcBorders>
                  <w:shd w:val="clear" w:color="auto" w:fill="auto"/>
                  <w:noWrap w:val="0"/>
                  <w:vAlign w:val="center"/>
                </w:tcPr>
                <w:p w14:paraId="753414B2">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57A8EA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852" w:type="pct"/>
                  <w:vMerge w:val="continue"/>
                  <w:tcBorders>
                    <w:tl2br w:val="nil"/>
                    <w:tr2bl w:val="nil"/>
                  </w:tcBorders>
                  <w:shd w:val="clear" w:color="auto" w:fill="auto"/>
                  <w:noWrap w:val="0"/>
                  <w:vAlign w:val="center"/>
                </w:tcPr>
                <w:p w14:paraId="093A422B">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522" w:type="pct"/>
                  <w:tcBorders>
                    <w:tl2br w:val="nil"/>
                    <w:tr2bl w:val="nil"/>
                  </w:tcBorders>
                  <w:shd w:val="clear" w:color="auto" w:fill="auto"/>
                  <w:noWrap w:val="0"/>
                  <w:vAlign w:val="center"/>
                </w:tcPr>
                <w:p w14:paraId="548C6763">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从严控制新建、改建、扩建涉磷行业的项目建设，总磷超标地方执行总磷排放减量置换，2017年底前，所有涉磷重点工业企业应完善厂区冲洗水和初期雨水收集系统，落实涉磷矿山渣场和尾矿库的防渗、防风、防洪措施，建设规范的雨水收集池、回水池、渗滤液收集池和应急污水处理系统，并推进安装总磷在线监控装置。</w:t>
                  </w:r>
                </w:p>
              </w:tc>
              <w:tc>
                <w:tcPr>
                  <w:tcW w:w="861" w:type="pct"/>
                  <w:tcBorders>
                    <w:tl2br w:val="nil"/>
                    <w:tr2bl w:val="nil"/>
                  </w:tcBorders>
                  <w:shd w:val="clear" w:color="auto" w:fill="auto"/>
                  <w:noWrap w:val="0"/>
                  <w:vAlign w:val="center"/>
                </w:tcPr>
                <w:p w14:paraId="09F70A9B">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项目在生产过程中不涉及含磷废水外排。</w:t>
                  </w:r>
                </w:p>
              </w:tc>
              <w:tc>
                <w:tcPr>
                  <w:tcW w:w="764" w:type="pct"/>
                  <w:tcBorders>
                    <w:tl2br w:val="nil"/>
                    <w:tr2bl w:val="nil"/>
                  </w:tcBorders>
                  <w:shd w:val="clear" w:color="auto" w:fill="auto"/>
                  <w:noWrap w:val="0"/>
                  <w:vAlign w:val="center"/>
                </w:tcPr>
                <w:p w14:paraId="63C46587">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637498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852" w:type="pct"/>
                  <w:vMerge w:val="continue"/>
                  <w:tcBorders>
                    <w:tl2br w:val="nil"/>
                    <w:tr2bl w:val="nil"/>
                  </w:tcBorders>
                  <w:shd w:val="clear" w:color="auto" w:fill="auto"/>
                  <w:noWrap w:val="0"/>
                  <w:vAlign w:val="center"/>
                </w:tcPr>
                <w:p w14:paraId="0BE9F0C3">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p>
              </w:tc>
              <w:tc>
                <w:tcPr>
                  <w:tcW w:w="2522" w:type="pct"/>
                  <w:tcBorders>
                    <w:tl2br w:val="nil"/>
                    <w:tr2bl w:val="nil"/>
                  </w:tcBorders>
                  <w:shd w:val="clear" w:color="auto" w:fill="auto"/>
                  <w:noWrap w:val="0"/>
                  <w:vAlign w:val="center"/>
                </w:tcPr>
                <w:p w14:paraId="78500CE7">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新建、升级工业集聚区应严格执行环境影响评价和环境保护“三同时”制度，同步规划、建设和运行污水集中处理设施，集聚区内的工业废水必须经预处理达到集中处理要求后，方可排入集中污水处理设施。</w:t>
                  </w:r>
                </w:p>
              </w:tc>
              <w:tc>
                <w:tcPr>
                  <w:tcW w:w="861" w:type="pct"/>
                  <w:tcBorders>
                    <w:tl2br w:val="nil"/>
                    <w:tr2bl w:val="nil"/>
                  </w:tcBorders>
                  <w:shd w:val="clear" w:color="auto" w:fill="auto"/>
                  <w:noWrap w:val="0"/>
                  <w:vAlign w:val="center"/>
                </w:tcPr>
                <w:p w14:paraId="7B23BD3D">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项目生产废水不外排，生活污水进入污水处理厂处理后达标排放</w:t>
                  </w:r>
                </w:p>
              </w:tc>
              <w:tc>
                <w:tcPr>
                  <w:tcW w:w="764" w:type="pct"/>
                  <w:tcBorders>
                    <w:tl2br w:val="nil"/>
                    <w:tr2bl w:val="nil"/>
                  </w:tcBorders>
                  <w:shd w:val="clear" w:color="auto" w:fill="auto"/>
                  <w:noWrap w:val="0"/>
                  <w:vAlign w:val="center"/>
                </w:tcPr>
                <w:p w14:paraId="41191180">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636F45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852" w:type="pct"/>
                  <w:tcBorders>
                    <w:tl2br w:val="nil"/>
                    <w:tr2bl w:val="nil"/>
                  </w:tcBorders>
                  <w:shd w:val="clear" w:color="auto" w:fill="auto"/>
                  <w:noWrap w:val="0"/>
                  <w:vAlign w:val="center"/>
                </w:tcPr>
                <w:p w14:paraId="5EF2178D">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关于加强长江黄金水道环境污染防控治理的指导意见</w:t>
                  </w:r>
                </w:p>
              </w:tc>
              <w:tc>
                <w:tcPr>
                  <w:tcW w:w="2522" w:type="pct"/>
                  <w:tcBorders>
                    <w:tl2br w:val="nil"/>
                    <w:tr2bl w:val="nil"/>
                  </w:tcBorders>
                  <w:shd w:val="clear" w:color="auto" w:fill="auto"/>
                  <w:noWrap w:val="0"/>
                  <w:vAlign w:val="center"/>
                </w:tcPr>
                <w:p w14:paraId="56CDFFAD">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落实主体功能区战略，实施差别化的区域产业政策。科学划定岸线功能分区边界，严格分区管理和用途管制。坚持“以水定发展”，统筹规划沿江岸线资源，严控下游高污染、高排放企业向上游转移。除在建项目外，严禁在干流及主要支流岸线1公里范围内新建布局重化工园区，严控在中上游沿岸地区新建石油化工和煤化工项目。</w:t>
                  </w:r>
                </w:p>
              </w:tc>
              <w:tc>
                <w:tcPr>
                  <w:tcW w:w="861" w:type="pct"/>
                  <w:tcBorders>
                    <w:tl2br w:val="nil"/>
                    <w:tr2bl w:val="nil"/>
                  </w:tcBorders>
                  <w:shd w:val="clear" w:color="auto" w:fill="auto"/>
                  <w:noWrap w:val="0"/>
                  <w:vAlign w:val="center"/>
                </w:tcPr>
                <w:p w14:paraId="60C98DD5">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ascii="Times New Roman" w:hAnsi="Times New Roman" w:cs="Times New Roman"/>
                      <w:bCs/>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项目不属于重化工项目，生产废水不外排，生活污水进入污水处理厂处理后达标排放</w:t>
                  </w:r>
                </w:p>
              </w:tc>
              <w:tc>
                <w:tcPr>
                  <w:tcW w:w="764" w:type="pct"/>
                  <w:tcBorders>
                    <w:tl2br w:val="nil"/>
                    <w:tr2bl w:val="nil"/>
                  </w:tcBorders>
                  <w:shd w:val="clear" w:color="auto" w:fill="auto"/>
                  <w:noWrap w:val="0"/>
                  <w:vAlign w:val="center"/>
                </w:tcPr>
                <w:p w14:paraId="57CCC8D3">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0745F4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22" w:hRule="atLeast"/>
                <w:jc w:val="center"/>
              </w:trPr>
              <w:tc>
                <w:tcPr>
                  <w:tcW w:w="852" w:type="pct"/>
                  <w:tcBorders>
                    <w:tl2br w:val="nil"/>
                    <w:tr2bl w:val="nil"/>
                  </w:tcBorders>
                  <w:shd w:val="clear" w:color="auto" w:fill="auto"/>
                  <w:noWrap w:val="0"/>
                  <w:vAlign w:val="center"/>
                </w:tcPr>
                <w:p w14:paraId="33E20E53">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甘孜州生态环境局关于印发《甘孜州水生态环境保护“十四五”规划》的通知</w:t>
                  </w:r>
                </w:p>
              </w:tc>
              <w:tc>
                <w:tcPr>
                  <w:tcW w:w="2522" w:type="pct"/>
                  <w:tcBorders>
                    <w:tl2br w:val="nil"/>
                    <w:tr2bl w:val="nil"/>
                  </w:tcBorders>
                  <w:shd w:val="clear" w:color="auto" w:fill="auto"/>
                  <w:noWrap w:val="0"/>
                  <w:vAlign w:val="center"/>
                </w:tcPr>
                <w:p w14:paraId="0ADC3926">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推动工业废水防治。建立工业企业污水处理设施进水浓度异常等突出问题清单，查明问题原因并开展整治，实施清单管理、动态销号。严格落实企业依法按证排污，控制污染物入河湖量。对康定金鑫矿业、康巴情人食品公司等20家重点排污企业进行全面整治，提升企业清洁生产水平。加强食品饮料、中藏医药、农畜产品精加工等重点行业废水分类收集、分质处理和清污分流，强化处理设施监管，严控工业废水未经处理或未有效处理直接排入城镇污水处理系统。</w:t>
                  </w:r>
                </w:p>
              </w:tc>
              <w:tc>
                <w:tcPr>
                  <w:tcW w:w="861" w:type="pct"/>
                  <w:tcBorders>
                    <w:tl2br w:val="nil"/>
                    <w:tr2bl w:val="nil"/>
                  </w:tcBorders>
                  <w:shd w:val="clear" w:color="auto" w:fill="auto"/>
                  <w:noWrap w:val="0"/>
                  <w:vAlign w:val="center"/>
                </w:tcPr>
                <w:p w14:paraId="579CB622">
                  <w:pPr>
                    <w:keepNext w:val="0"/>
                    <w:keepLines w:val="0"/>
                    <w:pageBreakBefore w:val="0"/>
                    <w:widowControl/>
                    <w:kinsoku/>
                    <w:wordWrap/>
                    <w:overflowPunct/>
                    <w:topLinePunct w:val="0"/>
                    <w:autoSpaceDE/>
                    <w:autoSpaceDN/>
                    <w:bidi w:val="0"/>
                    <w:adjustRightInd/>
                    <w:snapToGrid/>
                    <w:spacing w:before="157" w:beforeLines="50" w:afterLines="0" w:line="360" w:lineRule="auto"/>
                    <w:ind w:firstLine="420" w:firstLineChars="200"/>
                    <w:jc w:val="both"/>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本项目成品罐车清洗、运输车辆轮胎冲洗、搅拌设备清洗、地面冲洗经处理后循环使用，生活污水经处理后进入甘孜县县城污水处理厂</w:t>
                  </w:r>
                </w:p>
              </w:tc>
              <w:tc>
                <w:tcPr>
                  <w:tcW w:w="764" w:type="pct"/>
                  <w:tcBorders>
                    <w:tl2br w:val="nil"/>
                    <w:tr2bl w:val="nil"/>
                  </w:tcBorders>
                  <w:shd w:val="clear" w:color="auto" w:fill="auto"/>
                  <w:noWrap w:val="0"/>
                  <w:vAlign w:val="center"/>
                </w:tcPr>
                <w:p w14:paraId="10B11A03">
                  <w:pPr>
                    <w:keepNext w:val="0"/>
                    <w:keepLines w:val="0"/>
                    <w:pageBreakBefore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bl>
          <w:p w14:paraId="175F1EF3">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综上，项目建设符合《水污染防治行动计划》、《&lt;水污染防治行动计划&gt;四川省工作方案</w:t>
            </w:r>
            <w:r>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关于加强长江黄金水道环境污染防控治理的指导意见》的要求。</w:t>
            </w:r>
          </w:p>
          <w:p w14:paraId="2ABE7267">
            <w:pPr>
              <w:pStyle w:val="29"/>
              <w:numPr>
                <w:ilvl w:val="0"/>
                <w:numId w:val="0"/>
              </w:numPr>
              <w:spacing w:line="360" w:lineRule="auto"/>
              <w:ind w:leftChars="200"/>
              <w:jc w:val="both"/>
              <w:rPr>
                <w:rFonts w:hint="default" w:ascii="Times New Roman" w:hAnsi="Times New Roman" w:cs="Times New Roman" w:eastAsiaTheme="minorEastAsia"/>
                <w:b/>
                <w:bCs/>
                <w:color w:val="000000" w:themeColor="text1"/>
                <w:sz w:val="24"/>
                <w:szCs w:val="24"/>
                <w:highlight w:val="none"/>
                <w:lang w:val="en-US"/>
                <w14:textFill>
                  <w14:solidFill>
                    <w14:schemeClr w14:val="tx1"/>
                  </w14:solidFill>
                </w14:textFill>
              </w:rPr>
            </w:pPr>
            <w:r>
              <w:rPr>
                <w:rFonts w:hint="eastAsia" w:cs="Times New Roman" w:eastAsiaTheme="minorEastAsia"/>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highlight w:val="none"/>
                <w:lang w:val="en-US"/>
                <w14:textFill>
                  <w14:solidFill>
                    <w14:schemeClr w14:val="tx1"/>
                  </w14:solidFill>
                </w14:textFill>
              </w:rPr>
              <w:t>与噪声污染防治相关法律法规及政策符合性分析</w:t>
            </w:r>
          </w:p>
          <w:p w14:paraId="748A2111">
            <w:pPr>
              <w:pStyle w:val="29"/>
              <w:numPr>
                <w:ilvl w:val="0"/>
                <w:numId w:val="0"/>
              </w:numPr>
              <w:spacing w:line="360" w:lineRule="auto"/>
              <w:ind w:left="480"/>
              <w:jc w:val="both"/>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项目与《“十四五”噪声污染防治行动计划》符合性见下表1-4。</w:t>
            </w:r>
          </w:p>
          <w:p w14:paraId="0736EF49">
            <w:pPr>
              <w:pStyle w:val="29"/>
              <w:numPr>
                <w:ilvl w:val="0"/>
                <w:numId w:val="0"/>
              </w:numPr>
              <w:spacing w:line="360" w:lineRule="auto"/>
              <w:jc w:val="center"/>
              <w:rPr>
                <w:rFonts w:hint="default" w:ascii="Times New Roman" w:hAnsi="Times New Roman" w:cs="Times New Roman" w:eastAsiaTheme="minorEastAsia"/>
                <w:b/>
                <w:bCs/>
                <w:color w:val="000000" w:themeColor="text1"/>
                <w:sz w:val="24"/>
                <w:szCs w:val="24"/>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14:textFill>
                  <w14:solidFill>
                    <w14:schemeClr w14:val="tx1"/>
                  </w14:solidFill>
                </w14:textFill>
              </w:rPr>
              <w:t>表1-</w:t>
            </w:r>
            <w:r>
              <w:rPr>
                <w:rFonts w:hint="eastAsia" w:cs="Times New Roman" w:eastAsiaTheme="minorEastAsia"/>
                <w:b/>
                <w:bCs/>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eastAsiaTheme="minorEastAsia"/>
                <w:b/>
                <w:bCs/>
                <w:color w:val="000000" w:themeColor="text1"/>
                <w:sz w:val="24"/>
                <w:szCs w:val="24"/>
                <w:highlight w:val="none"/>
                <w:lang w:val="en-US"/>
                <w14:textFill>
                  <w14:solidFill>
                    <w14:schemeClr w14:val="tx1"/>
                  </w14:solidFill>
                </w14:textFill>
              </w:rPr>
              <w:t>项目与《“十四五”噪声污染防治行动计划》符合性</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3704"/>
              <w:gridCol w:w="2071"/>
              <w:gridCol w:w="782"/>
            </w:tblGrid>
            <w:tr w14:paraId="1C0DE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pct"/>
                  <w:tcBorders>
                    <w:tl2br w:val="nil"/>
                    <w:tr2bl w:val="nil"/>
                  </w:tcBorders>
                  <w:shd w:val="clear" w:color="auto" w:fill="auto"/>
                  <w:noWrap w:val="0"/>
                  <w:vAlign w:val="center"/>
                </w:tcPr>
                <w:p w14:paraId="35C32638">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center"/>
                    <w:textAlignment w:val="auto"/>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t>政策/规划名称</w:t>
                  </w:r>
                </w:p>
              </w:tc>
              <w:tc>
                <w:tcPr>
                  <w:tcW w:w="2416" w:type="pct"/>
                  <w:tcBorders>
                    <w:tl2br w:val="nil"/>
                    <w:tr2bl w:val="nil"/>
                  </w:tcBorders>
                  <w:shd w:val="clear" w:color="auto" w:fill="auto"/>
                  <w:noWrap w:val="0"/>
                  <w:vAlign w:val="center"/>
                </w:tcPr>
                <w:p w14:paraId="16CD873F">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center"/>
                    <w:textAlignment w:val="auto"/>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t>相关要求</w:t>
                  </w:r>
                </w:p>
              </w:tc>
              <w:tc>
                <w:tcPr>
                  <w:tcW w:w="1351" w:type="pct"/>
                  <w:tcBorders>
                    <w:tl2br w:val="nil"/>
                    <w:tr2bl w:val="nil"/>
                  </w:tcBorders>
                  <w:noWrap w:val="0"/>
                  <w:vAlign w:val="center"/>
                </w:tcPr>
                <w:p w14:paraId="74540A27">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center"/>
                    <w:textAlignment w:val="auto"/>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t>本项目情况</w:t>
                  </w:r>
                </w:p>
              </w:tc>
              <w:tc>
                <w:tcPr>
                  <w:tcW w:w="510" w:type="pct"/>
                  <w:tcBorders>
                    <w:tl2br w:val="nil"/>
                    <w:tr2bl w:val="nil"/>
                  </w:tcBorders>
                  <w:noWrap w:val="0"/>
                  <w:vAlign w:val="center"/>
                </w:tcPr>
                <w:p w14:paraId="65A574FB">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center"/>
                    <w:textAlignment w:val="auto"/>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14:textFill>
                        <w14:solidFill>
                          <w14:schemeClr w14:val="tx1"/>
                        </w14:solidFill>
                      </w14:textFill>
                    </w:rPr>
                    <w:t>符合性</w:t>
                  </w:r>
                </w:p>
              </w:tc>
            </w:tr>
            <w:tr w14:paraId="59577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pct"/>
                  <w:tcBorders>
                    <w:tl2br w:val="nil"/>
                    <w:tr2bl w:val="nil"/>
                  </w:tcBorders>
                  <w:shd w:val="clear" w:color="auto" w:fill="auto"/>
                  <w:noWrap w:val="0"/>
                  <w:vAlign w:val="center"/>
                </w:tcPr>
                <w:p w14:paraId="7F4FDA59">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both"/>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《“十四五”噪声污染防治行动计划》环大气[2023]1号</w:t>
                  </w:r>
                </w:p>
              </w:tc>
              <w:tc>
                <w:tcPr>
                  <w:tcW w:w="2416" w:type="pct"/>
                  <w:tcBorders>
                    <w:tl2br w:val="nil"/>
                    <w:tr2bl w:val="nil"/>
                  </w:tcBorders>
                  <w:shd w:val="clear" w:color="auto" w:fill="auto"/>
                  <w:noWrap w:val="0"/>
                  <w:vAlign w:val="center"/>
                </w:tcPr>
                <w:p w14:paraId="35F1A8CC">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firstLine="420" w:firstLineChars="200"/>
                    <w:jc w:val="both"/>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八）严格工业噪声管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加强工业园区管控。鼓励工业园区进行噪声污染分区管控，优化设备布局和物流运输路线，采用低噪声设备和运输工具。严控噪声污染严重的工业企业向乡村居住区域转移。</w:t>
                  </w:r>
                </w:p>
              </w:tc>
              <w:tc>
                <w:tcPr>
                  <w:tcW w:w="1351" w:type="pct"/>
                  <w:tcBorders>
                    <w:tl2br w:val="nil"/>
                    <w:tr2bl w:val="nil"/>
                  </w:tcBorders>
                  <w:noWrap w:val="0"/>
                  <w:vAlign w:val="center"/>
                </w:tcPr>
                <w:p w14:paraId="1ED2B291">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firstLine="420" w:firstLineChars="200"/>
                    <w:jc w:val="both"/>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本项目将加工车间布置于厂区中部，</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并设置厂房进行封闭，厂房为彩钢棚结构，生产设备均</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采取减振、消声等处理措施，且周边50m范围内</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无学校、居民区等</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敏感点分布，不会发生噪声扰民现象，对环境影响较小</w:t>
                  </w:r>
                </w:p>
              </w:tc>
              <w:tc>
                <w:tcPr>
                  <w:tcW w:w="510" w:type="pct"/>
                  <w:tcBorders>
                    <w:tl2br w:val="nil"/>
                    <w:tr2bl w:val="nil"/>
                  </w:tcBorders>
                  <w:noWrap w:val="0"/>
                  <w:vAlign w:val="center"/>
                </w:tcPr>
                <w:p w14:paraId="6DE6A44A">
                  <w:pPr>
                    <w:pStyle w:val="2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jc w:val="both"/>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符合</w:t>
                  </w:r>
                </w:p>
              </w:tc>
            </w:tr>
          </w:tbl>
          <w:p w14:paraId="73C36684">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、其他相关政策相符性分析</w:t>
            </w:r>
          </w:p>
          <w:p w14:paraId="678BBA10">
            <w:pPr>
              <w:spacing w:beforeLines="0" w:afterLines="0" w:line="360" w:lineRule="auto"/>
              <w:ind w:firstLine="482" w:firstLineChars="200"/>
              <w:jc w:val="left"/>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pPr>
            <w:r>
              <w:rPr>
                <w:rFonts w:hint="default" w:ascii="Times New Roman" w:hAnsi="Times New Roman" w:cs="Times New Roman"/>
                <w:b/>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cs="Times New Roman"/>
                <w:b/>
                <w:color w:val="000000" w:themeColor="text1"/>
                <w:kern w:val="0"/>
                <w:sz w:val="24"/>
                <w:szCs w:val="24"/>
                <w:highlight w:val="none"/>
                <w:lang w:eastAsia="zh-CN"/>
                <w14:textFill>
                  <w14:solidFill>
                    <w14:schemeClr w14:val="tx1"/>
                  </w14:solidFill>
                </w14:textFill>
              </w:rPr>
              <w:t>）与《四川省“十四五”生态环境保护规划》（川府发〔2022〕2号）的符合性分析</w:t>
            </w:r>
          </w:p>
          <w:p w14:paraId="583B0624">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本项目与《四川省“十四五”生态环境保护规划》（川府发〔2022〕2号）的符合性分析如下。</w:t>
            </w:r>
          </w:p>
          <w:p w14:paraId="0DD7ECB9">
            <w:pPr>
              <w:spacing w:beforeLines="0" w:afterLines="0" w:line="360" w:lineRule="auto"/>
              <w:ind w:firstLine="0" w:firstLineChars="0"/>
              <w:jc w:val="cente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表1-</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11</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本项目与《四川省“十四五”生态环境保护规划》的符合性分析</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53"/>
              <w:gridCol w:w="963"/>
              <w:gridCol w:w="3711"/>
              <w:gridCol w:w="1452"/>
              <w:gridCol w:w="885"/>
            </w:tblGrid>
            <w:tr w14:paraId="5AD4D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26" w:type="pct"/>
                  <w:tcBorders>
                    <w:tl2br w:val="nil"/>
                    <w:tr2bl w:val="nil"/>
                  </w:tcBorders>
                  <w:shd w:val="clear" w:color="auto" w:fill="auto"/>
                  <w:noWrap w:val="0"/>
                  <w:vAlign w:val="center"/>
                </w:tcPr>
                <w:p w14:paraId="64193158">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序号</w:t>
                  </w:r>
                </w:p>
              </w:tc>
              <w:tc>
                <w:tcPr>
                  <w:tcW w:w="3048" w:type="pct"/>
                  <w:gridSpan w:val="2"/>
                  <w:tcBorders>
                    <w:tl2br w:val="nil"/>
                    <w:tr2bl w:val="nil"/>
                  </w:tcBorders>
                  <w:shd w:val="clear" w:color="auto" w:fill="auto"/>
                  <w:noWrap w:val="0"/>
                  <w:vAlign w:val="center"/>
                </w:tcPr>
                <w:p w14:paraId="7ED98A80">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文件内容要求</w:t>
                  </w:r>
                </w:p>
              </w:tc>
              <w:tc>
                <w:tcPr>
                  <w:tcW w:w="947" w:type="pct"/>
                  <w:tcBorders>
                    <w:tl2br w:val="nil"/>
                    <w:tr2bl w:val="nil"/>
                  </w:tcBorders>
                  <w:shd w:val="clear" w:color="auto" w:fill="auto"/>
                  <w:noWrap w:val="0"/>
                  <w:vAlign w:val="center"/>
                </w:tcPr>
                <w:p w14:paraId="0E9474F8">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本项目情况</w:t>
                  </w:r>
                </w:p>
              </w:tc>
              <w:tc>
                <w:tcPr>
                  <w:tcW w:w="577" w:type="pct"/>
                  <w:tcBorders>
                    <w:tl2br w:val="nil"/>
                    <w:tr2bl w:val="nil"/>
                  </w:tcBorders>
                  <w:shd w:val="clear" w:color="auto" w:fill="auto"/>
                  <w:noWrap w:val="0"/>
                  <w:vAlign w:val="center"/>
                </w:tcPr>
                <w:p w14:paraId="3918D19B">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符合性</w:t>
                  </w:r>
                </w:p>
              </w:tc>
            </w:tr>
            <w:tr w14:paraId="42BB66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26" w:type="pct"/>
                  <w:tcBorders>
                    <w:tl2br w:val="nil"/>
                    <w:tr2bl w:val="nil"/>
                  </w:tcBorders>
                  <w:shd w:val="clear" w:color="auto" w:fill="auto"/>
                  <w:noWrap w:val="0"/>
                  <w:vAlign w:val="center"/>
                </w:tcPr>
                <w:p w14:paraId="797322E3">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p>
              </w:tc>
              <w:tc>
                <w:tcPr>
                  <w:tcW w:w="628" w:type="pct"/>
                  <w:tcBorders>
                    <w:tl2br w:val="nil"/>
                    <w:tr2bl w:val="nil"/>
                  </w:tcBorders>
                  <w:shd w:val="clear" w:color="auto" w:fill="auto"/>
                  <w:noWrap w:val="0"/>
                  <w:vAlign w:val="center"/>
                </w:tcPr>
                <w:p w14:paraId="0F9DF1FE">
                  <w:pPr>
                    <w:keepNext w:val="0"/>
                    <w:keepLines w:val="0"/>
                    <w:pageBreakBefore w:val="0"/>
                    <w:widowControl w:val="0"/>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三、（一）构建绿色空间格局。</w:t>
                  </w:r>
                </w:p>
              </w:tc>
              <w:tc>
                <w:tcPr>
                  <w:tcW w:w="2420" w:type="pct"/>
                  <w:tcBorders>
                    <w:tl2br w:val="nil"/>
                    <w:tr2bl w:val="nil"/>
                  </w:tcBorders>
                  <w:shd w:val="clear" w:color="auto" w:fill="auto"/>
                  <w:noWrap w:val="0"/>
                  <w:vAlign w:val="center"/>
                </w:tcPr>
                <w:p w14:paraId="29183B6A">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三、（一）支持现有钢铁、水泥、焦化等废气排放量大的产业向有刚性需求、具有资源优势、环境容量允许的地区转移布局。支持现有造纸、纺织印染、电镀、酿造等高耗水产业向水资源丰富、水环境容量允许、基础设施完善的地区转移布局。支持符合环保、能效等标准要求的高载能行业向清洁能源优势地区集中。引导高耗能、高排放企业搬迁改造和退城入园。推进长江经济带产业布局优化和绿色转型发展，禁止在长江干支流岸线一公里范围内新建、扩建化工园区和化工项目。在黄河流域生态敏感脆弱区禁止新建对生态系统有严重影响的高耗水、高污染或高耗能项目。</w:t>
                  </w:r>
                </w:p>
              </w:tc>
              <w:tc>
                <w:tcPr>
                  <w:tcW w:w="947" w:type="pct"/>
                  <w:tcBorders>
                    <w:tl2br w:val="nil"/>
                    <w:tr2bl w:val="nil"/>
                  </w:tcBorders>
                  <w:shd w:val="clear" w:color="auto" w:fill="auto"/>
                  <w:noWrap w:val="0"/>
                  <w:vAlign w:val="center"/>
                </w:tcPr>
                <w:p w14:paraId="3D04DCF2">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本项目</w:t>
                  </w:r>
                  <w:r>
                    <w:rPr>
                      <w:rStyle w:val="37"/>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混凝土</w:t>
                  </w:r>
                  <w:r>
                    <w:rPr>
                      <w:rStyle w:val="37"/>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，为非金属矿物制品业</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，不属于</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化工项目</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w:t>
                  </w:r>
                </w:p>
              </w:tc>
              <w:tc>
                <w:tcPr>
                  <w:tcW w:w="577" w:type="pct"/>
                  <w:tcBorders>
                    <w:tl2br w:val="nil"/>
                    <w:tr2bl w:val="nil"/>
                  </w:tcBorders>
                  <w:shd w:val="clear" w:color="auto" w:fill="auto"/>
                  <w:noWrap w:val="0"/>
                  <w:vAlign w:val="center"/>
                </w:tcPr>
                <w:p w14:paraId="01BEB3F1">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符合</w:t>
                  </w:r>
                </w:p>
              </w:tc>
            </w:tr>
            <w:tr w14:paraId="3BD72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9" w:hRule="atLeast"/>
                <w:jc w:val="center"/>
              </w:trPr>
              <w:tc>
                <w:tcPr>
                  <w:tcW w:w="426" w:type="pct"/>
                  <w:tcBorders>
                    <w:tl2br w:val="nil"/>
                    <w:tr2bl w:val="nil"/>
                  </w:tcBorders>
                  <w:shd w:val="clear" w:color="auto" w:fill="auto"/>
                  <w:noWrap w:val="0"/>
                  <w:vAlign w:val="center"/>
                </w:tcPr>
                <w:p w14:paraId="312B5B40">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w:t>
                  </w:r>
                </w:p>
              </w:tc>
              <w:tc>
                <w:tcPr>
                  <w:tcW w:w="628" w:type="pct"/>
                  <w:vMerge w:val="restart"/>
                  <w:tcBorders>
                    <w:tl2br w:val="nil"/>
                    <w:tr2bl w:val="nil"/>
                  </w:tcBorders>
                  <w:shd w:val="clear" w:color="auto" w:fill="auto"/>
                  <w:noWrap w:val="0"/>
                  <w:vAlign w:val="center"/>
                </w:tcPr>
                <w:p w14:paraId="457EA881">
                  <w:pPr>
                    <w:keepNext w:val="0"/>
                    <w:keepLines w:val="0"/>
                    <w:pageBreakBefore w:val="0"/>
                    <w:widowControl w:val="0"/>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五、（一）深化工业源污染防治</w:t>
                  </w:r>
                </w:p>
              </w:tc>
              <w:tc>
                <w:tcPr>
                  <w:tcW w:w="2420" w:type="pct"/>
                  <w:tcBorders>
                    <w:tl2br w:val="nil"/>
                    <w:tr2bl w:val="nil"/>
                  </w:tcBorders>
                  <w:shd w:val="clear" w:color="auto" w:fill="auto"/>
                  <w:noWrap w:val="0"/>
                  <w:vAlign w:val="center"/>
                </w:tcPr>
                <w:p w14:paraId="5B302EA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强化重点行业污染治理。加快火电、钢铁、水泥、焦化及燃煤工业锅炉超低排放改造。推进平板玻璃、陶瓷、铁合金、有色等重点行业深度治理。深化工业炉窑大气污染综合治理</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基本完成使用高污染燃料的燃料类工业炉窑清洁能源替代。全面淘汰10蒸吨/小时及以下燃煤锅炉</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县级及以上城市建成区原则上不再新建35蒸吨/小时以下的燃煤锅炉</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65蒸吨/小时及以上燃煤锅炉</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含电力</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全面实现超低排放改造</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加快推进燃气锅炉低氮燃烧改造。</w:t>
                  </w:r>
                </w:p>
              </w:tc>
              <w:tc>
                <w:tcPr>
                  <w:tcW w:w="947" w:type="pct"/>
                  <w:tcBorders>
                    <w:tl2br w:val="nil"/>
                    <w:tr2bl w:val="nil"/>
                  </w:tcBorders>
                  <w:shd w:val="clear" w:color="auto" w:fill="auto"/>
                  <w:noWrap w:val="0"/>
                  <w:vAlign w:val="center"/>
                </w:tcPr>
                <w:p w14:paraId="00940DB4">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Style w:val="37"/>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目生产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混凝土</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，不属于火电、钢铁、水泥、焦化及燃煤工业锅炉。</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不涉及工业炉窑</w:t>
                  </w:r>
                </w:p>
              </w:tc>
              <w:tc>
                <w:tcPr>
                  <w:tcW w:w="577" w:type="pct"/>
                  <w:tcBorders>
                    <w:tl2br w:val="nil"/>
                    <w:tr2bl w:val="nil"/>
                  </w:tcBorders>
                  <w:shd w:val="clear" w:color="auto" w:fill="auto"/>
                  <w:noWrap w:val="0"/>
                  <w:vAlign w:val="center"/>
                </w:tcPr>
                <w:p w14:paraId="74107CB3">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符合</w:t>
                  </w:r>
                </w:p>
              </w:tc>
            </w:tr>
            <w:tr w14:paraId="19570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 w:hRule="atLeast"/>
                <w:jc w:val="center"/>
              </w:trPr>
              <w:tc>
                <w:tcPr>
                  <w:tcW w:w="426" w:type="pct"/>
                  <w:tcBorders>
                    <w:tl2br w:val="nil"/>
                    <w:tr2bl w:val="nil"/>
                  </w:tcBorders>
                  <w:shd w:val="clear" w:color="auto" w:fill="auto"/>
                  <w:noWrap w:val="0"/>
                  <w:vAlign w:val="center"/>
                </w:tcPr>
                <w:p w14:paraId="275F0942">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p>
              </w:tc>
              <w:tc>
                <w:tcPr>
                  <w:tcW w:w="628" w:type="pct"/>
                  <w:vMerge w:val="continue"/>
                  <w:tcBorders>
                    <w:tl2br w:val="nil"/>
                    <w:tr2bl w:val="nil"/>
                  </w:tcBorders>
                  <w:shd w:val="clear" w:color="auto" w:fill="auto"/>
                  <w:noWrap w:val="0"/>
                  <w:vAlign w:val="center"/>
                </w:tcPr>
                <w:p w14:paraId="4C7B9D50">
                  <w:pPr>
                    <w:keepNext w:val="0"/>
                    <w:keepLines w:val="0"/>
                    <w:pageBreakBefore w:val="0"/>
                    <w:widowControl w:val="0"/>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c>
                <w:tcPr>
                  <w:tcW w:w="2420" w:type="pct"/>
                  <w:tcBorders>
                    <w:tl2br w:val="nil"/>
                    <w:tr2bl w:val="nil"/>
                  </w:tcBorders>
                  <w:shd w:val="clear" w:color="auto" w:fill="auto"/>
                  <w:noWrap w:val="0"/>
                  <w:vAlign w:val="center"/>
                </w:tcPr>
                <w:p w14:paraId="3569CEE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升级改造。</w:t>
                  </w:r>
                </w:p>
              </w:tc>
              <w:tc>
                <w:tcPr>
                  <w:tcW w:w="947" w:type="pct"/>
                  <w:tcBorders>
                    <w:tl2br w:val="nil"/>
                    <w:tr2bl w:val="nil"/>
                  </w:tcBorders>
                  <w:shd w:val="clear" w:color="auto" w:fill="auto"/>
                  <w:noWrap w:val="0"/>
                  <w:vAlign w:val="center"/>
                </w:tcPr>
                <w:p w14:paraId="245EA957">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本项目不涉及</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高VOCs含量溶剂型涂料、油墨、胶粘剂、清洗剂</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的生产或使用，本项目无</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VOCs</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排放。</w:t>
                  </w:r>
                </w:p>
              </w:tc>
              <w:tc>
                <w:tcPr>
                  <w:tcW w:w="577" w:type="pct"/>
                  <w:tcBorders>
                    <w:tl2br w:val="nil"/>
                    <w:tr2bl w:val="nil"/>
                  </w:tcBorders>
                  <w:shd w:val="clear" w:color="auto" w:fill="auto"/>
                  <w:noWrap w:val="0"/>
                  <w:vAlign w:val="center"/>
                </w:tcPr>
                <w:p w14:paraId="7C3D8E83">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符合</w:t>
                  </w:r>
                </w:p>
              </w:tc>
            </w:tr>
            <w:tr w14:paraId="2EAFC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 w:hRule="atLeast"/>
                <w:jc w:val="center"/>
              </w:trPr>
              <w:tc>
                <w:tcPr>
                  <w:tcW w:w="426" w:type="pct"/>
                  <w:tcBorders>
                    <w:tl2br w:val="nil"/>
                    <w:tr2bl w:val="nil"/>
                  </w:tcBorders>
                  <w:shd w:val="clear" w:color="auto" w:fill="auto"/>
                  <w:noWrap w:val="0"/>
                  <w:vAlign w:val="center"/>
                </w:tcPr>
                <w:p w14:paraId="4B8F604C">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4</w:t>
                  </w:r>
                </w:p>
              </w:tc>
              <w:tc>
                <w:tcPr>
                  <w:tcW w:w="628" w:type="pct"/>
                  <w:tcBorders>
                    <w:tl2br w:val="nil"/>
                    <w:tr2bl w:val="nil"/>
                  </w:tcBorders>
                  <w:shd w:val="clear" w:color="auto" w:fill="auto"/>
                  <w:noWrap w:val="0"/>
                  <w:vAlign w:val="center"/>
                </w:tcPr>
                <w:p w14:paraId="42B2B17F">
                  <w:pPr>
                    <w:keepNext w:val="0"/>
                    <w:keepLines w:val="0"/>
                    <w:pageBreakBefore w:val="0"/>
                    <w:widowControl w:val="0"/>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七、（一）推进土壤污染源头防控</w:t>
                  </w:r>
                </w:p>
              </w:tc>
              <w:tc>
                <w:tcPr>
                  <w:tcW w:w="2420" w:type="pct"/>
                  <w:tcBorders>
                    <w:tl2br w:val="nil"/>
                    <w:tr2bl w:val="nil"/>
                  </w:tcBorders>
                  <w:shd w:val="clear" w:color="auto" w:fill="auto"/>
                  <w:noWrap w:val="0"/>
                  <w:vAlign w:val="center"/>
                </w:tcPr>
                <w:p w14:paraId="60B346B2">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加强空间布局管控。强化规划环评刚性约束，严格空间管控，合理规划土地用途，强化涉及土壤污染建设项目布局论证，鼓励土壤污染重点工业企业集聚发展，探索土壤环境承载能力分析。禁止在居民区、学校、医院、疗养院和养老院等单位周边新（改、扩）建可能造成土壤污染的建设项目，禁止在永久基本农田集中区域新建可能造成土壤污染的建设项目。</w:t>
                  </w:r>
                </w:p>
              </w:tc>
              <w:tc>
                <w:tcPr>
                  <w:tcW w:w="947" w:type="pct"/>
                  <w:tcBorders>
                    <w:tl2br w:val="nil"/>
                    <w:tr2bl w:val="nil"/>
                  </w:tcBorders>
                  <w:shd w:val="clear" w:color="auto" w:fill="auto"/>
                  <w:noWrap w:val="0"/>
                  <w:vAlign w:val="center"/>
                </w:tcPr>
                <w:p w14:paraId="034F3A53">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本项目不涉及永久基本农田。项目实行分区防渗，</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危险废物贮存库重</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点防渗，</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正常情况下</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无土壤污染途径。</w:t>
                  </w:r>
                </w:p>
              </w:tc>
              <w:tc>
                <w:tcPr>
                  <w:tcW w:w="577" w:type="pct"/>
                  <w:tcBorders>
                    <w:tl2br w:val="nil"/>
                    <w:tr2bl w:val="nil"/>
                  </w:tcBorders>
                  <w:shd w:val="clear" w:color="auto" w:fill="auto"/>
                  <w:noWrap w:val="0"/>
                  <w:vAlign w:val="center"/>
                </w:tcPr>
                <w:p w14:paraId="0056D1E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符合</w:t>
                  </w:r>
                </w:p>
              </w:tc>
            </w:tr>
            <w:tr w14:paraId="051E4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26" w:type="pct"/>
                  <w:tcBorders>
                    <w:tl2br w:val="nil"/>
                    <w:tr2bl w:val="nil"/>
                  </w:tcBorders>
                  <w:shd w:val="clear" w:color="auto" w:fill="auto"/>
                  <w:noWrap w:val="0"/>
                  <w:vAlign w:val="center"/>
                </w:tcPr>
                <w:p w14:paraId="7301408A">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5</w:t>
                  </w:r>
                </w:p>
              </w:tc>
              <w:tc>
                <w:tcPr>
                  <w:tcW w:w="628" w:type="pct"/>
                  <w:tcBorders>
                    <w:tl2br w:val="nil"/>
                    <w:tr2bl w:val="nil"/>
                  </w:tcBorders>
                  <w:shd w:val="clear" w:color="auto" w:fill="auto"/>
                  <w:noWrap w:val="0"/>
                  <w:vAlign w:val="center"/>
                </w:tcPr>
                <w:p w14:paraId="05726338">
                  <w:pPr>
                    <w:keepNext w:val="0"/>
                    <w:keepLines w:val="0"/>
                    <w:pageBreakBefore w:val="0"/>
                    <w:widowControl w:val="0"/>
                    <w:kinsoku/>
                    <w:wordWrap/>
                    <w:overflowPunct/>
                    <w:topLinePunct w:val="0"/>
                    <w:autoSpaceDE/>
                    <w:autoSpaceDN/>
                    <w:bidi w:val="0"/>
                    <w:adjustRightInd/>
                    <w:snapToGrid/>
                    <w:spacing w:before="157" w:beforeLines="50" w:afterLines="0" w:line="360" w:lineRule="auto"/>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七、（</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二</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）强化水环境污染治理。</w:t>
                  </w:r>
                </w:p>
              </w:tc>
              <w:tc>
                <w:tcPr>
                  <w:tcW w:w="2420" w:type="pct"/>
                  <w:tcBorders>
                    <w:tl2br w:val="nil"/>
                    <w:tr2bl w:val="nil"/>
                  </w:tcBorders>
                  <w:shd w:val="clear" w:color="auto" w:fill="auto"/>
                  <w:noWrap w:val="0"/>
                  <w:vAlign w:val="center"/>
                </w:tcPr>
                <w:p w14:paraId="07492761">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14:textFill>
                        <w14:solidFill>
                          <w14:schemeClr w14:val="tx1"/>
                        </w14:solidFill>
                      </w14:textFill>
                    </w:rPr>
                    <w:t>强化工业污水综合整治。深入实施工业企业污水处理设施升级改造</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重点开展电子信息、造纸、印染、化工、酿造等行业废水专项治理</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全面实现工业废水达标排放。对涉及重金属、高盐和高浓度难降解废水的企业</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强化分质、分类预处理</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提高企业与末端处理设施的联动监控能力</w:t>
                  </w: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vertAlign w:val="baseline"/>
                      <w14:textFill>
                        <w14:solidFill>
                          <w14:schemeClr w14:val="tx1"/>
                        </w14:solidFill>
                      </w14:textFill>
                    </w:rPr>
                    <w:t>确保末端污水处理设施安全稳定运行。</w:t>
                  </w:r>
                </w:p>
              </w:tc>
              <w:tc>
                <w:tcPr>
                  <w:tcW w:w="947" w:type="pct"/>
                  <w:tcBorders>
                    <w:tl2br w:val="nil"/>
                    <w:tr2bl w:val="nil"/>
                  </w:tcBorders>
                  <w:shd w:val="clear" w:color="auto" w:fill="auto"/>
                  <w:noWrap w:val="0"/>
                  <w:vAlign w:val="center"/>
                </w:tcPr>
                <w:p w14:paraId="2490F98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420" w:firstLineChars="20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项目生产废水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经沉淀处理后回用，不外排；</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生活污水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预处理后进入甘孜县县城污水处理厂</w:t>
                  </w:r>
                </w:p>
              </w:tc>
              <w:tc>
                <w:tcPr>
                  <w:tcW w:w="577" w:type="pct"/>
                  <w:tcBorders>
                    <w:tl2br w:val="nil"/>
                    <w:tr2bl w:val="nil"/>
                  </w:tcBorders>
                  <w:shd w:val="clear" w:color="auto" w:fill="auto"/>
                  <w:noWrap w:val="0"/>
                  <w:vAlign w:val="center"/>
                </w:tcPr>
                <w:p w14:paraId="7769A72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符合</w:t>
                  </w:r>
                </w:p>
              </w:tc>
            </w:tr>
          </w:tbl>
          <w:p w14:paraId="0DF29684">
            <w:pPr>
              <w:spacing w:beforeLines="0" w:afterLines="0" w:line="360" w:lineRule="auto"/>
              <w:ind w:firstLine="482" w:firstLineChars="200"/>
              <w:jc w:val="left"/>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项目与《四川省、重庆市长江经济带发展负面清单实施细则（试行，2022年版）》符合性分析</w:t>
            </w:r>
          </w:p>
          <w:p w14:paraId="12AB1B26">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本项目位于四川省甘孜藏族自治州甘孜镇斯俄村，项目场址不涉及自然保护区、风景名胜区、国家湿地公园，对照与《四川省、重庆市长江经济带发展负面清单实施细则（试行，2022年版）》符合性分析，对照《实施细则》，本项目相关建设内容与该“实施细则”符合性分析如</w:t>
            </w:r>
            <w:r>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t>下表</w:t>
            </w: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w:t>
            </w:r>
          </w:p>
          <w:p w14:paraId="0FA9273B">
            <w:pPr>
              <w:spacing w:beforeLines="0" w:afterLines="0" w:line="360" w:lineRule="auto"/>
              <w:ind w:firstLine="0" w:firstLineChars="0"/>
              <w:jc w:val="cente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表1-</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12</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本项目与《四川省、重庆市长江经济带发展负面清单实施细则》（试行，2022年版）符合性分析</w:t>
            </w:r>
          </w:p>
          <w:tbl>
            <w:tblPr>
              <w:tblStyle w:val="35"/>
              <w:tblW w:w="0" w:type="auto"/>
              <w:jc w:val="center"/>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29"/>
              <w:gridCol w:w="3344"/>
              <w:gridCol w:w="3149"/>
              <w:gridCol w:w="642"/>
            </w:tblGrid>
            <w:tr w14:paraId="606DD2A5">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57A8643F">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2181" w:type="pct"/>
                  <w:tcBorders>
                    <w:tl2br w:val="nil"/>
                    <w:tr2bl w:val="nil"/>
                  </w:tcBorders>
                  <w:shd w:val="clear" w:color="auto" w:fill="auto"/>
                  <w:noWrap w:val="0"/>
                  <w:vAlign w:val="center"/>
                </w:tcPr>
                <w:p w14:paraId="7F37D1E8">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实施细则</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》要求</w:t>
                  </w:r>
                </w:p>
              </w:tc>
              <w:tc>
                <w:tcPr>
                  <w:tcW w:w="2054" w:type="pct"/>
                  <w:tcBorders>
                    <w:tl2br w:val="nil"/>
                    <w:tr2bl w:val="nil"/>
                  </w:tcBorders>
                  <w:shd w:val="clear" w:color="auto" w:fill="auto"/>
                  <w:noWrap w:val="0"/>
                  <w:vAlign w:val="center"/>
                </w:tcPr>
                <w:p w14:paraId="7D37826D">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本项目情况</w:t>
                  </w:r>
                </w:p>
              </w:tc>
              <w:tc>
                <w:tcPr>
                  <w:tcW w:w="419" w:type="pct"/>
                  <w:tcBorders>
                    <w:tl2br w:val="nil"/>
                    <w:tr2bl w:val="nil"/>
                  </w:tcBorders>
                  <w:shd w:val="clear" w:color="auto" w:fill="auto"/>
                  <w:noWrap w:val="0"/>
                  <w:vAlign w:val="center"/>
                </w:tcPr>
                <w:p w14:paraId="777BE94F">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是否符合</w:t>
                  </w:r>
                </w:p>
              </w:tc>
            </w:tr>
            <w:tr w14:paraId="22A2E0FE">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1DDE8950">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2181" w:type="pct"/>
                  <w:tcBorders>
                    <w:tl2br w:val="nil"/>
                    <w:tr2bl w:val="nil"/>
                  </w:tcBorders>
                  <w:shd w:val="clear" w:color="auto" w:fill="auto"/>
                  <w:noWrap w:val="0"/>
                  <w:vAlign w:val="center"/>
                </w:tcPr>
                <w:p w14:paraId="6D06817E">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第九条、禁止在饮用水水源准保护区的岸线和河段范围内新建、扩建对水体污染严重的建设项目，禁止改建增加排污量的建设项目。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6B7C8343">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本项目位于四川省甘孜藏族自治州甘孜镇斯俄村，项目选址不涉及</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饮用水水源准保护区</w:t>
                  </w:r>
                </w:p>
              </w:tc>
              <w:tc>
                <w:tcPr>
                  <w:tcW w:w="419" w:type="pct"/>
                  <w:tcBorders>
                    <w:tl2br w:val="nil"/>
                    <w:tr2bl w:val="nil"/>
                  </w:tcBorders>
                  <w:shd w:val="clear" w:color="auto" w:fill="auto"/>
                  <w:noWrap w:val="0"/>
                  <w:vAlign w:val="center"/>
                </w:tcPr>
                <w:p w14:paraId="067A2A6F">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2FD094DC">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081FD0F0">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2181" w:type="pct"/>
                  <w:tcBorders>
                    <w:tl2br w:val="nil"/>
                    <w:tr2bl w:val="nil"/>
                  </w:tcBorders>
                  <w:shd w:val="clear" w:color="auto" w:fill="auto"/>
                  <w:noWrap w:val="0"/>
                  <w:vAlign w:val="center"/>
                </w:tcPr>
                <w:p w14:paraId="0CF905E6">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第十条、饮用水水源二级保护区的岸线和河段范围内，除遵守准保护区规定外，禁止新建、改建、扩建排放污染物的投资建设项目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禁止从事对水体有污染的水产养殖等活动。</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p w14:paraId="58137E94">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十一条、饮用水水源一级保护区的岸线和河段范围内，除遵守二级保护区规定外，禁止新建、改建、扩建与供水设施和保护水源无关的项目，以及网箱养殖、畜禽养殖、旅游等可能污染饮用水水体的投资建设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6FDBF66E">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选址</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不涉及饮用水水源保护区。</w:t>
                  </w:r>
                </w:p>
              </w:tc>
              <w:tc>
                <w:tcPr>
                  <w:tcW w:w="419" w:type="pct"/>
                  <w:tcBorders>
                    <w:tl2br w:val="nil"/>
                    <w:tr2bl w:val="nil"/>
                  </w:tcBorders>
                  <w:shd w:val="clear" w:color="auto" w:fill="auto"/>
                  <w:noWrap w:val="0"/>
                  <w:vAlign w:val="center"/>
                </w:tcPr>
                <w:p w14:paraId="7CD65BBB">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52A5B7B3">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5EA59A50">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2181" w:type="pct"/>
                  <w:tcBorders>
                    <w:tl2br w:val="nil"/>
                    <w:tr2bl w:val="nil"/>
                  </w:tcBorders>
                  <w:shd w:val="clear" w:color="auto" w:fill="auto"/>
                  <w:noWrap w:val="0"/>
                  <w:vAlign w:val="center"/>
                </w:tcPr>
                <w:p w14:paraId="3D7E04D2">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第十八条、禁止在长江干支流、重要湖泊岸线一公里范围内新建、扩建化工园区和化工项目。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p w14:paraId="5C857403">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第十九条、禁止在长江干流岸线三公里范围内和重要支流岸线一公里范围内新建、改建、扩建尾矿库、冶炼渣库、磷石膏库，以提升安全、生态环境保护水平为目的的改建除外。</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2C633ED6">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为商砼站建设项目，项目不属于</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在长江干支流、重要湖泊岸线一公里范围内新建、扩建化工园区和化工项目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也不属于</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在长江干流岸线三公里范围内和重要支流岸线一公里范围内新建、改建、扩建尾矿库、冶炼渣库、磷石膏库</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419" w:type="pct"/>
                  <w:tcBorders>
                    <w:tl2br w:val="nil"/>
                    <w:tr2bl w:val="nil"/>
                  </w:tcBorders>
                  <w:shd w:val="clear" w:color="auto" w:fill="auto"/>
                  <w:noWrap w:val="0"/>
                  <w:vAlign w:val="center"/>
                </w:tcPr>
                <w:p w14:paraId="24CC9CC8">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04AEE8CD">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620CD5D6">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p>
              </w:tc>
              <w:tc>
                <w:tcPr>
                  <w:tcW w:w="2181" w:type="pct"/>
                  <w:tcBorders>
                    <w:tl2br w:val="nil"/>
                    <w:tr2bl w:val="nil"/>
                  </w:tcBorders>
                  <w:shd w:val="clear" w:color="auto" w:fill="auto"/>
                  <w:noWrap w:val="0"/>
                  <w:vAlign w:val="center"/>
                </w:tcPr>
                <w:p w14:paraId="06F25708">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二十二条、禁止新建、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准入条件(试行)》要求。</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4B484352">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为商砼站建设项目，不属于</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石化、现代煤化工等产业。</w:t>
                  </w:r>
                </w:p>
              </w:tc>
              <w:tc>
                <w:tcPr>
                  <w:tcW w:w="419" w:type="pct"/>
                  <w:tcBorders>
                    <w:tl2br w:val="nil"/>
                    <w:tr2bl w:val="nil"/>
                  </w:tcBorders>
                  <w:shd w:val="clear" w:color="auto" w:fill="auto"/>
                  <w:noWrap w:val="0"/>
                  <w:vAlign w:val="center"/>
                </w:tcPr>
                <w:p w14:paraId="1C1808CF">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C987F77">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1D193EBA">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w:t>
                  </w:r>
                </w:p>
              </w:tc>
              <w:tc>
                <w:tcPr>
                  <w:tcW w:w="2181" w:type="pct"/>
                  <w:tcBorders>
                    <w:tl2br w:val="nil"/>
                    <w:tr2bl w:val="nil"/>
                  </w:tcBorders>
                  <w:shd w:val="clear" w:color="auto" w:fill="auto"/>
                  <w:noWrap w:val="0"/>
                  <w:vAlign w:val="center"/>
                </w:tcPr>
                <w:p w14:paraId="085FBD85">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127FCD41">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《产业结构调整指导目录》中淘汰类</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及限制类项目，属于允许类项目。</w:t>
                  </w:r>
                </w:p>
              </w:tc>
              <w:tc>
                <w:tcPr>
                  <w:tcW w:w="419" w:type="pct"/>
                  <w:tcBorders>
                    <w:tl2br w:val="nil"/>
                    <w:tr2bl w:val="nil"/>
                  </w:tcBorders>
                  <w:shd w:val="clear" w:color="auto" w:fill="auto"/>
                  <w:noWrap w:val="0"/>
                  <w:vAlign w:val="center"/>
                </w:tcPr>
                <w:p w14:paraId="22F74846">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r w14:paraId="0ABA57AC">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6B7FC46C">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w:t>
                  </w:r>
                </w:p>
              </w:tc>
              <w:tc>
                <w:tcPr>
                  <w:tcW w:w="2181" w:type="pct"/>
                  <w:tcBorders>
                    <w:tl2br w:val="nil"/>
                    <w:tr2bl w:val="nil"/>
                  </w:tcBorders>
                  <w:shd w:val="clear" w:color="auto" w:fill="auto"/>
                  <w:noWrap w:val="0"/>
                  <w:vAlign w:val="center"/>
                </w:tcPr>
                <w:p w14:paraId="20253EF1">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第二十四条、禁止新建、扩建不符合国家产能置换要求的</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严重过剩产能行业的项目。对于不符合国家产能置换要求的严重过剩产能行业，不得以其他任何名义、任何方式备案新增产能项目。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4C7B4CEB">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为商砼站建设项目，为允许类项目，</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不属于不符合国家产能置换要求的</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也不属于</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严重过剩产能行业的项目。</w:t>
                  </w:r>
                </w:p>
              </w:tc>
              <w:tc>
                <w:tcPr>
                  <w:tcW w:w="419" w:type="pct"/>
                  <w:tcBorders>
                    <w:tl2br w:val="nil"/>
                    <w:tr2bl w:val="nil"/>
                  </w:tcBorders>
                  <w:shd w:val="clear" w:color="auto" w:fill="auto"/>
                  <w:noWrap w:val="0"/>
                  <w:vAlign w:val="center"/>
                </w:tcPr>
                <w:p w14:paraId="4999CAFB">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12FB76F">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noWrap w:val="0"/>
                  <w:vAlign w:val="center"/>
                </w:tcPr>
                <w:p w14:paraId="750C51F2">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7</w:t>
                  </w:r>
                </w:p>
              </w:tc>
              <w:tc>
                <w:tcPr>
                  <w:tcW w:w="2181" w:type="pct"/>
                  <w:tcBorders>
                    <w:tl2br w:val="nil"/>
                    <w:tr2bl w:val="nil"/>
                  </w:tcBorders>
                  <w:shd w:val="clear" w:color="auto" w:fill="auto"/>
                  <w:noWrap w:val="0"/>
                  <w:vAlign w:val="center"/>
                </w:tcPr>
                <w:p w14:paraId="1A2AC751">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第二十六条</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禁止新建、扩建不符合要求的高耗能、高排放、低水平项目。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2054" w:type="pct"/>
                  <w:tcBorders>
                    <w:tl2br w:val="nil"/>
                    <w:tr2bl w:val="nil"/>
                  </w:tcBorders>
                  <w:shd w:val="clear" w:color="auto" w:fill="auto"/>
                  <w:noWrap w:val="0"/>
                  <w:vAlign w:val="center"/>
                </w:tcPr>
                <w:p w14:paraId="336666B3">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420" w:firstLineChars="20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中建设内容分别</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属于《产业结构调整指导目录（</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年本）》中</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允许</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类</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项目，不涉及落后产能项目。本项目不属于国家严重产能过剩行业项目。本项目不属于</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两高</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w:t>
                  </w:r>
                </w:p>
              </w:tc>
              <w:tc>
                <w:tcPr>
                  <w:tcW w:w="419" w:type="pct"/>
                  <w:tcBorders>
                    <w:tl2br w:val="nil"/>
                    <w:tr2bl w:val="nil"/>
                  </w:tcBorders>
                  <w:shd w:val="clear" w:color="auto" w:fill="auto"/>
                  <w:noWrap w:val="0"/>
                  <w:vAlign w:val="center"/>
                </w:tcPr>
                <w:p w14:paraId="46811BF2">
                  <w:pPr>
                    <w:keepNext w:val="0"/>
                    <w:keepLines w:val="0"/>
                    <w:pageBreakBefore w:val="0"/>
                    <w:widowControl w:val="0"/>
                    <w:kinsoku/>
                    <w:wordWrap/>
                    <w:overflowPunct/>
                    <w:topLinePunct w:val="0"/>
                    <w:autoSpaceDE/>
                    <w:autoSpaceDN/>
                    <w:bidi w:val="0"/>
                    <w:adjustRightInd w:val="0"/>
                    <w:snapToGrid w:val="0"/>
                    <w:spacing w:before="157" w:beforeLines="50" w:afterLines="0" w:line="360" w:lineRule="auto"/>
                    <w:ind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bl>
          <w:p w14:paraId="3B5534A5">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根据上表分析，本项目的建设符合《四川省、重庆市长江经济带发展负面清单实施细则（试行，2022年版）》要求。</w:t>
            </w:r>
          </w:p>
          <w:p w14:paraId="7E615F78">
            <w:pPr>
              <w:spacing w:beforeLines="0" w:afterLines="0" w:line="360" w:lineRule="auto"/>
              <w:ind w:firstLine="482" w:firstLineChars="200"/>
              <w:jc w:val="left"/>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kern w:val="0"/>
                <w:sz w:val="24"/>
                <w:szCs w:val="24"/>
                <w:highlight w:val="none"/>
                <w:lang w:eastAsia="zh-CN"/>
                <w14:textFill>
                  <w14:solidFill>
                    <w14:schemeClr w14:val="tx1"/>
                  </w14:solidFill>
                </w14:textFill>
              </w:rPr>
              <w:t>）与《中华人民共和国长江保护法》符合性分析</w:t>
            </w:r>
          </w:p>
          <w:p w14:paraId="561181F1">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2020年12月26日第十三届全国人民代表大会常务委员会第二十四次会议通过《中华人民共和国长江保护法》。根据《长江保护法》，“第二十六条：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21FACD5E">
            <w:pPr>
              <w:spacing w:beforeLines="0" w:afterLines="0" w:line="360" w:lineRule="auto"/>
              <w:ind w:firstLine="480" w:firstLineChars="200"/>
              <w:jc w:val="left"/>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项目周边地表水体为雅砻江（属于长江上游金沙江的支流），位于项目</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西南</w:t>
            </w: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侧约2</w:t>
            </w:r>
            <w:r>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t>250</w:t>
            </w:r>
            <w:r>
              <w:rPr>
                <w:rFonts w:hint="default" w:ascii="Times New Roman" w:hAnsi="Times New Roman" w:eastAsia="宋体" w:cs="Times New Roman"/>
                <w:b w:val="0"/>
                <w:bCs/>
                <w:color w:val="000000" w:themeColor="text1"/>
                <w:kern w:val="0"/>
                <w:sz w:val="24"/>
                <w:szCs w:val="24"/>
                <w:highlight w:val="none"/>
                <w:lang w:eastAsia="zh-CN"/>
                <w14:textFill>
                  <w14:solidFill>
                    <w14:schemeClr w14:val="tx1"/>
                  </w14:solidFill>
                </w14:textFill>
              </w:rPr>
              <w:t>m处，雅砻江属于金沙江水系，不属于长江干流、重要支流，且项目属于C3021 水泥制品制造，不属于重化工项目、不属于尾矿库，故不违背《中华人民共和国长江保护法》的要求。</w:t>
            </w:r>
          </w:p>
          <w:p w14:paraId="7DDE99BC">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kern w:val="0"/>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、选址合理性分析</w:t>
            </w:r>
          </w:p>
          <w:p w14:paraId="3D1F97B3">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（1）项目外环境关系</w:t>
            </w:r>
          </w:p>
          <w:p w14:paraId="647EA929">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本项目周围50m范围内无居民区。项目最近敏感点为西侧178m处的1#居民区，项目南侧</w:t>
            </w:r>
            <w:r>
              <w:rPr>
                <w:rFonts w:hint="eastAsia"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甘孜州康藏商贸有限公司、家具厂、汽修厂，项目东北侧</w:t>
            </w:r>
            <w:r>
              <w:rPr>
                <w:rFonts w:hint="eastAsia" w:cs="Times New Roman"/>
                <w:color w:val="000000" w:themeColor="text1"/>
                <w:sz w:val="24"/>
                <w:szCs w:val="24"/>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m为甘孜永康绿色食品有限公司（屠宰企业）</w:t>
            </w:r>
            <w:r>
              <w:rPr>
                <w:rFonts w:hint="eastAsia" w:cs="Times New Roman"/>
                <w:color w:val="000000" w:themeColor="text1"/>
                <w:sz w:val="24"/>
                <w:szCs w:val="24"/>
                <w:highlight w:val="none"/>
                <w:lang w:val="en-US" w:eastAsia="zh-CN"/>
                <w14:textFill>
                  <w14:solidFill>
                    <w14:schemeClr w14:val="tx1"/>
                  </w14:solidFill>
                </w14:textFill>
              </w:rPr>
              <w:t>，距离产尘点碎石堆场车间53m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，详见附图4。</w:t>
            </w:r>
          </w:p>
          <w:p w14:paraId="5BF173F6">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项目外环境具体情况见下表：</w:t>
            </w:r>
          </w:p>
          <w:p w14:paraId="25FE6886">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表1-1</w:t>
            </w:r>
            <w:r>
              <w:rPr>
                <w:rFonts w:hint="eastAsia" w:cs="Times New Roman"/>
                <w:b/>
                <w:bCs/>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项目外环境关系一览表</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6"/>
              <w:gridCol w:w="616"/>
              <w:gridCol w:w="840"/>
              <w:gridCol w:w="800"/>
              <w:gridCol w:w="754"/>
              <w:gridCol w:w="1033"/>
              <w:gridCol w:w="1126"/>
              <w:gridCol w:w="2026"/>
            </w:tblGrid>
            <w:tr w14:paraId="4299A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3"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12F4505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序号</w:t>
                  </w:r>
                </w:p>
              </w:tc>
              <w:tc>
                <w:tcPr>
                  <w:tcW w:w="402" w:type="pct"/>
                  <w:tcBorders>
                    <w:tl2br w:val="nil"/>
                    <w:tr2bl w:val="nil"/>
                  </w:tcBorders>
                  <w:shd w:val="clear" w:color="auto" w:fill="auto"/>
                  <w:noWrap w:val="0"/>
                  <w:tcMar>
                    <w:top w:w="0" w:type="dxa"/>
                    <w:left w:w="57" w:type="dxa"/>
                    <w:bottom w:w="0" w:type="dxa"/>
                    <w:right w:w="57" w:type="dxa"/>
                  </w:tcMar>
                  <w:vAlign w:val="center"/>
                </w:tcPr>
                <w:p w14:paraId="2A6392B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方位</w:t>
                  </w:r>
                </w:p>
              </w:tc>
              <w:tc>
                <w:tcPr>
                  <w:tcW w:w="548" w:type="pct"/>
                  <w:tcBorders>
                    <w:tl2br w:val="nil"/>
                    <w:tr2bl w:val="nil"/>
                  </w:tcBorders>
                  <w:shd w:val="clear" w:color="auto" w:fill="auto"/>
                  <w:noWrap w:val="0"/>
                  <w:tcMar>
                    <w:top w:w="0" w:type="dxa"/>
                    <w:left w:w="57" w:type="dxa"/>
                    <w:bottom w:w="0" w:type="dxa"/>
                    <w:right w:w="57" w:type="dxa"/>
                  </w:tcMar>
                  <w:vAlign w:val="center"/>
                </w:tcPr>
                <w:p w14:paraId="2051B4D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lang w:val="en-US" w:eastAsia="zh-CN"/>
                      <w14:textFill>
                        <w14:solidFill>
                          <w14:schemeClr w14:val="tx1"/>
                        </w14:solidFill>
                      </w14:textFill>
                    </w:rPr>
                    <w:t>离厂界</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最近</w:t>
                  </w:r>
                  <w:r>
                    <w:rPr>
                      <w:rFonts w:ascii="Times New Roman" w:hAnsi="Times New Roman" w:cs="Times New Roman"/>
                      <w:b/>
                      <w:color w:val="000000" w:themeColor="text1"/>
                      <w:sz w:val="21"/>
                      <w:szCs w:val="21"/>
                      <w:highlight w:val="none"/>
                      <w14:textFill>
                        <w14:solidFill>
                          <w14:schemeClr w14:val="tx1"/>
                        </w14:solidFill>
                      </w14:textFill>
                    </w:rPr>
                    <w:t>距离（m）</w:t>
                  </w:r>
                </w:p>
              </w:tc>
              <w:tc>
                <w:tcPr>
                  <w:tcW w:w="522" w:type="pct"/>
                  <w:tcBorders>
                    <w:tl2br w:val="nil"/>
                    <w:tr2bl w:val="nil"/>
                  </w:tcBorders>
                  <w:shd w:val="clear" w:color="auto" w:fill="auto"/>
                  <w:noWrap w:val="0"/>
                  <w:tcMar>
                    <w:top w:w="0" w:type="dxa"/>
                    <w:left w:w="57" w:type="dxa"/>
                    <w:bottom w:w="0" w:type="dxa"/>
                    <w:right w:w="57" w:type="dxa"/>
                  </w:tcMar>
                  <w:vAlign w:val="center"/>
                </w:tcPr>
                <w:p w14:paraId="760129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r>
                    <w:rPr>
                      <w:rFonts w:hint="default" w:cs="Times New Roman"/>
                      <w:b/>
                      <w:color w:val="000000" w:themeColor="text1"/>
                      <w:sz w:val="21"/>
                      <w:szCs w:val="21"/>
                      <w:highlight w:val="none"/>
                      <w:lang w:val="en-US" w:eastAsia="zh-CN"/>
                      <w14:textFill>
                        <w14:solidFill>
                          <w14:schemeClr w14:val="tx1"/>
                        </w14:solidFill>
                      </w14:textFill>
                    </w:rPr>
                    <w:t>离车间</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最近距离（m）</w:t>
                  </w:r>
                </w:p>
              </w:tc>
              <w:tc>
                <w:tcPr>
                  <w:tcW w:w="492" w:type="pct"/>
                  <w:tcBorders>
                    <w:tl2br w:val="nil"/>
                    <w:tr2bl w:val="nil"/>
                  </w:tcBorders>
                  <w:shd w:val="clear" w:color="auto" w:fill="auto"/>
                  <w:noWrap w:val="0"/>
                  <w:tcMar>
                    <w:top w:w="0" w:type="dxa"/>
                    <w:left w:w="57" w:type="dxa"/>
                    <w:bottom w:w="0" w:type="dxa"/>
                    <w:right w:w="57" w:type="dxa"/>
                  </w:tcMar>
                  <w:vAlign w:val="center"/>
                </w:tcPr>
                <w:p w14:paraId="65F7B6F7">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高差</w:t>
                  </w:r>
                  <w:r>
                    <w:rPr>
                      <w:rFonts w:ascii="Times New Roman" w:hAnsi="Times New Roman" w:cs="Times New Roman"/>
                      <w:b/>
                      <w:color w:val="000000" w:themeColor="text1"/>
                      <w:sz w:val="21"/>
                      <w:szCs w:val="21"/>
                      <w:highlight w:val="none"/>
                      <w14:textFill>
                        <w14:solidFill>
                          <w14:schemeClr w14:val="tx1"/>
                        </w14:solidFill>
                      </w14:textFill>
                    </w:rPr>
                    <w:t>（m）</w:t>
                  </w:r>
                </w:p>
              </w:tc>
              <w:tc>
                <w:tcPr>
                  <w:tcW w:w="674" w:type="pct"/>
                  <w:tcBorders>
                    <w:tl2br w:val="nil"/>
                    <w:tr2bl w:val="nil"/>
                  </w:tcBorders>
                  <w:shd w:val="clear" w:color="auto" w:fill="auto"/>
                  <w:noWrap w:val="0"/>
                  <w:tcMar>
                    <w:top w:w="0" w:type="dxa"/>
                    <w:left w:w="57" w:type="dxa"/>
                    <w:bottom w:w="0" w:type="dxa"/>
                    <w:right w:w="57" w:type="dxa"/>
                  </w:tcMar>
                  <w:vAlign w:val="center"/>
                </w:tcPr>
                <w:p w14:paraId="1DB0629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名称</w:t>
                  </w:r>
                </w:p>
              </w:tc>
              <w:tc>
                <w:tcPr>
                  <w:tcW w:w="734" w:type="pct"/>
                  <w:tcBorders>
                    <w:tl2br w:val="nil"/>
                    <w:tr2bl w:val="nil"/>
                  </w:tcBorders>
                  <w:shd w:val="clear" w:color="auto" w:fill="auto"/>
                  <w:noWrap w:val="0"/>
                  <w:tcMar>
                    <w:top w:w="0" w:type="dxa"/>
                    <w:left w:w="57" w:type="dxa"/>
                    <w:bottom w:w="0" w:type="dxa"/>
                    <w:right w:w="57" w:type="dxa"/>
                  </w:tcMar>
                  <w:vAlign w:val="center"/>
                </w:tcPr>
                <w:p w14:paraId="7F838B0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性质</w:t>
                  </w:r>
                </w:p>
              </w:tc>
              <w:tc>
                <w:tcPr>
                  <w:tcW w:w="1321" w:type="pct"/>
                  <w:tcBorders>
                    <w:tl2br w:val="nil"/>
                    <w:tr2bl w:val="nil"/>
                  </w:tcBorders>
                  <w:shd w:val="clear" w:color="auto" w:fill="auto"/>
                  <w:noWrap w:val="0"/>
                  <w:tcMar>
                    <w:top w:w="0" w:type="dxa"/>
                    <w:left w:w="57" w:type="dxa"/>
                    <w:bottom w:w="0" w:type="dxa"/>
                    <w:right w:w="57" w:type="dxa"/>
                  </w:tcMar>
                  <w:vAlign w:val="center"/>
                </w:tcPr>
                <w:p w14:paraId="24F418E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备注</w:t>
                  </w:r>
                </w:p>
              </w:tc>
            </w:tr>
            <w:tr w14:paraId="7E91B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4"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01370864">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tcBorders>
                    <w:tl2br w:val="nil"/>
                    <w:tr2bl w:val="nil"/>
                  </w:tcBorders>
                  <w:shd w:val="clear" w:color="auto" w:fill="auto"/>
                  <w:noWrap w:val="0"/>
                  <w:tcMar>
                    <w:top w:w="0" w:type="dxa"/>
                    <w:left w:w="57" w:type="dxa"/>
                    <w:bottom w:w="0" w:type="dxa"/>
                    <w:right w:w="57" w:type="dxa"/>
                  </w:tcMar>
                  <w:vAlign w:val="center"/>
                </w:tcPr>
                <w:p w14:paraId="24FBBD5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东北面</w:t>
                  </w:r>
                </w:p>
              </w:tc>
              <w:tc>
                <w:tcPr>
                  <w:tcW w:w="548" w:type="pct"/>
                  <w:tcBorders>
                    <w:tl2br w:val="nil"/>
                    <w:tr2bl w:val="nil"/>
                  </w:tcBorders>
                  <w:shd w:val="clear" w:color="auto" w:fill="auto"/>
                  <w:noWrap w:val="0"/>
                  <w:tcMar>
                    <w:top w:w="0" w:type="dxa"/>
                    <w:left w:w="57" w:type="dxa"/>
                    <w:bottom w:w="0" w:type="dxa"/>
                    <w:right w:w="57" w:type="dxa"/>
                  </w:tcMar>
                  <w:vAlign w:val="center"/>
                </w:tcPr>
                <w:p w14:paraId="0008E12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32</w:t>
                  </w:r>
                </w:p>
              </w:tc>
              <w:tc>
                <w:tcPr>
                  <w:tcW w:w="522" w:type="pct"/>
                  <w:tcBorders>
                    <w:tl2br w:val="nil"/>
                    <w:tr2bl w:val="nil"/>
                  </w:tcBorders>
                  <w:shd w:val="clear" w:color="auto" w:fill="auto"/>
                  <w:noWrap w:val="0"/>
                  <w:tcMar>
                    <w:top w:w="0" w:type="dxa"/>
                    <w:left w:w="57" w:type="dxa"/>
                    <w:bottom w:w="0" w:type="dxa"/>
                    <w:right w:w="57" w:type="dxa"/>
                  </w:tcMar>
                  <w:vAlign w:val="center"/>
                </w:tcPr>
                <w:p w14:paraId="7953F63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492" w:type="pct"/>
                  <w:tcBorders>
                    <w:tl2br w:val="nil"/>
                    <w:tr2bl w:val="nil"/>
                  </w:tcBorders>
                  <w:shd w:val="clear" w:color="auto" w:fill="auto"/>
                  <w:noWrap w:val="0"/>
                  <w:tcMar>
                    <w:top w:w="0" w:type="dxa"/>
                    <w:left w:w="57" w:type="dxa"/>
                    <w:bottom w:w="0" w:type="dxa"/>
                    <w:right w:w="57" w:type="dxa"/>
                  </w:tcMar>
                  <w:vAlign w:val="center"/>
                </w:tcPr>
                <w:p w14:paraId="191B2E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6CE342A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甘孜永康绿色食品有限公司</w:t>
                  </w:r>
                </w:p>
              </w:tc>
              <w:tc>
                <w:tcPr>
                  <w:tcW w:w="734" w:type="pct"/>
                  <w:tcBorders>
                    <w:tl2br w:val="nil"/>
                    <w:tr2bl w:val="nil"/>
                  </w:tcBorders>
                  <w:shd w:val="clear" w:color="auto" w:fill="auto"/>
                  <w:noWrap w:val="0"/>
                  <w:tcMar>
                    <w:top w:w="0" w:type="dxa"/>
                    <w:left w:w="57" w:type="dxa"/>
                    <w:bottom w:w="0" w:type="dxa"/>
                    <w:right w:w="57" w:type="dxa"/>
                  </w:tcMar>
                  <w:vAlign w:val="center"/>
                </w:tcPr>
                <w:p w14:paraId="1241258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2"/>
                      <w:sz w:val="21"/>
                      <w:szCs w:val="21"/>
                      <w:highlight w:val="none"/>
                      <w:lang w:val="en-US" w:eastAsia="zh-CN"/>
                      <w14:textFill>
                        <w14:solidFill>
                          <w14:schemeClr w14:val="tx1"/>
                        </w14:solidFill>
                      </w14:textFill>
                    </w:rPr>
                    <w:t>屠宰企业</w:t>
                  </w:r>
                </w:p>
              </w:tc>
              <w:tc>
                <w:tcPr>
                  <w:tcW w:w="1321" w:type="pct"/>
                  <w:tcBorders>
                    <w:tl2br w:val="nil"/>
                    <w:tr2bl w:val="nil"/>
                  </w:tcBorders>
                  <w:shd w:val="clear" w:color="auto" w:fill="auto"/>
                  <w:noWrap w:val="0"/>
                  <w:tcMar>
                    <w:top w:w="0" w:type="dxa"/>
                    <w:left w:w="57" w:type="dxa"/>
                    <w:bottom w:w="0" w:type="dxa"/>
                    <w:right w:w="57" w:type="dxa"/>
                  </w:tcMar>
                  <w:vAlign w:val="center"/>
                </w:tcPr>
                <w:p w14:paraId="6675DDC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距离产尘点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碎石堆场</w:t>
                  </w:r>
                  <w:r>
                    <w:rPr>
                      <w:rFonts w:hint="eastAsia" w:cs="Times New Roman"/>
                      <w:color w:val="000000" w:themeColor="text1"/>
                      <w:sz w:val="21"/>
                      <w:szCs w:val="21"/>
                      <w:highlight w:val="none"/>
                      <w:lang w:val="en-US" w:eastAsia="zh-CN"/>
                      <w14:textFill>
                        <w14:solidFill>
                          <w14:schemeClr w14:val="tx1"/>
                        </w14:solidFill>
                      </w14:textFill>
                    </w:rPr>
                    <w:t>车间53m，本项目已征求食品厂意见，食品厂对本项目建设表示同意（见附件7 ）</w:t>
                  </w:r>
                </w:p>
              </w:tc>
            </w:tr>
            <w:tr w14:paraId="56C242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3E8D8D68">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restart"/>
                  <w:tcBorders>
                    <w:tl2br w:val="nil"/>
                    <w:tr2bl w:val="nil"/>
                  </w:tcBorders>
                  <w:shd w:val="clear" w:color="auto" w:fill="auto"/>
                  <w:noWrap w:val="0"/>
                  <w:tcMar>
                    <w:top w:w="0" w:type="dxa"/>
                    <w:left w:w="57" w:type="dxa"/>
                    <w:bottom w:w="0" w:type="dxa"/>
                    <w:right w:w="57" w:type="dxa"/>
                  </w:tcMar>
                  <w:vAlign w:val="center"/>
                </w:tcPr>
                <w:p w14:paraId="17DB060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东面</w:t>
                  </w:r>
                </w:p>
              </w:tc>
              <w:tc>
                <w:tcPr>
                  <w:tcW w:w="548" w:type="pct"/>
                  <w:tcBorders>
                    <w:tl2br w:val="nil"/>
                    <w:tr2bl w:val="nil"/>
                  </w:tcBorders>
                  <w:shd w:val="clear" w:color="auto" w:fill="auto"/>
                  <w:noWrap w:val="0"/>
                  <w:tcMar>
                    <w:top w:w="0" w:type="dxa"/>
                    <w:left w:w="57" w:type="dxa"/>
                    <w:bottom w:w="0" w:type="dxa"/>
                    <w:right w:w="57" w:type="dxa"/>
                  </w:tcMar>
                  <w:vAlign w:val="center"/>
                </w:tcPr>
                <w:p w14:paraId="76F1DE2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212</w:t>
                  </w:r>
                </w:p>
              </w:tc>
              <w:tc>
                <w:tcPr>
                  <w:tcW w:w="522" w:type="pct"/>
                  <w:tcBorders>
                    <w:tl2br w:val="nil"/>
                    <w:tr2bl w:val="nil"/>
                  </w:tcBorders>
                  <w:shd w:val="clear" w:color="auto" w:fill="auto"/>
                  <w:noWrap w:val="0"/>
                  <w:tcMar>
                    <w:top w:w="0" w:type="dxa"/>
                    <w:left w:w="57" w:type="dxa"/>
                    <w:bottom w:w="0" w:type="dxa"/>
                    <w:right w:w="57" w:type="dxa"/>
                  </w:tcMar>
                  <w:vAlign w:val="center"/>
                </w:tcPr>
                <w:p w14:paraId="56754CA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212</w:t>
                  </w:r>
                </w:p>
              </w:tc>
              <w:tc>
                <w:tcPr>
                  <w:tcW w:w="492" w:type="pct"/>
                  <w:tcBorders>
                    <w:tl2br w:val="nil"/>
                    <w:tr2bl w:val="nil"/>
                  </w:tcBorders>
                  <w:shd w:val="clear" w:color="auto" w:fill="auto"/>
                  <w:noWrap w:val="0"/>
                  <w:tcMar>
                    <w:top w:w="0" w:type="dxa"/>
                    <w:left w:w="57" w:type="dxa"/>
                    <w:bottom w:w="0" w:type="dxa"/>
                    <w:right w:w="57" w:type="dxa"/>
                  </w:tcMar>
                  <w:vAlign w:val="center"/>
                </w:tcPr>
                <w:p w14:paraId="6430B2B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00252D0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2#居民区</w:t>
                  </w:r>
                </w:p>
              </w:tc>
              <w:tc>
                <w:tcPr>
                  <w:tcW w:w="734" w:type="pct"/>
                  <w:tcBorders>
                    <w:tl2br w:val="nil"/>
                    <w:tr2bl w:val="nil"/>
                  </w:tcBorders>
                  <w:shd w:val="clear" w:color="auto" w:fill="auto"/>
                  <w:noWrap w:val="0"/>
                  <w:tcMar>
                    <w:top w:w="0" w:type="dxa"/>
                    <w:left w:w="57" w:type="dxa"/>
                    <w:bottom w:w="0" w:type="dxa"/>
                    <w:right w:w="57" w:type="dxa"/>
                  </w:tcMar>
                  <w:vAlign w:val="center"/>
                </w:tcPr>
                <w:p w14:paraId="140462A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居民</w:t>
                  </w:r>
                </w:p>
              </w:tc>
              <w:tc>
                <w:tcPr>
                  <w:tcW w:w="1321" w:type="pct"/>
                  <w:tcBorders>
                    <w:tl2br w:val="nil"/>
                    <w:tr2bl w:val="nil"/>
                  </w:tcBorders>
                  <w:shd w:val="clear" w:color="auto" w:fill="auto"/>
                  <w:noWrap w:val="0"/>
                  <w:tcMar>
                    <w:top w:w="0" w:type="dxa"/>
                    <w:left w:w="57" w:type="dxa"/>
                    <w:bottom w:w="0" w:type="dxa"/>
                    <w:right w:w="57" w:type="dxa"/>
                  </w:tcMar>
                  <w:vAlign w:val="center"/>
                </w:tcPr>
                <w:p w14:paraId="71F76A6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90981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5BF01EBE">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0" w:type="dxa"/>
                    <w:left w:w="57" w:type="dxa"/>
                    <w:bottom w:w="0" w:type="dxa"/>
                    <w:right w:w="57" w:type="dxa"/>
                  </w:tcMar>
                  <w:vAlign w:val="center"/>
                </w:tcPr>
                <w:p w14:paraId="76A9081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548" w:type="pct"/>
                  <w:tcBorders>
                    <w:tl2br w:val="nil"/>
                    <w:tr2bl w:val="nil"/>
                  </w:tcBorders>
                  <w:shd w:val="clear" w:color="auto" w:fill="auto"/>
                  <w:noWrap w:val="0"/>
                  <w:tcMar>
                    <w:top w:w="0" w:type="dxa"/>
                    <w:left w:w="57" w:type="dxa"/>
                    <w:bottom w:w="0" w:type="dxa"/>
                    <w:right w:w="57" w:type="dxa"/>
                  </w:tcMar>
                  <w:vAlign w:val="center"/>
                </w:tcPr>
                <w:p w14:paraId="49844A2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371</w:t>
                  </w:r>
                </w:p>
              </w:tc>
              <w:tc>
                <w:tcPr>
                  <w:tcW w:w="522" w:type="pct"/>
                  <w:tcBorders>
                    <w:tl2br w:val="nil"/>
                    <w:tr2bl w:val="nil"/>
                  </w:tcBorders>
                  <w:shd w:val="clear" w:color="auto" w:fill="auto"/>
                  <w:noWrap w:val="0"/>
                  <w:tcMar>
                    <w:top w:w="0" w:type="dxa"/>
                    <w:left w:w="57" w:type="dxa"/>
                    <w:bottom w:w="0" w:type="dxa"/>
                    <w:right w:w="57" w:type="dxa"/>
                  </w:tcMar>
                  <w:vAlign w:val="center"/>
                </w:tcPr>
                <w:p w14:paraId="62A33DA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372</w:t>
                  </w:r>
                </w:p>
              </w:tc>
              <w:tc>
                <w:tcPr>
                  <w:tcW w:w="492" w:type="pct"/>
                  <w:tcBorders>
                    <w:tl2br w:val="nil"/>
                    <w:tr2bl w:val="nil"/>
                  </w:tcBorders>
                  <w:shd w:val="clear" w:color="auto" w:fill="auto"/>
                  <w:noWrap w:val="0"/>
                  <w:tcMar>
                    <w:top w:w="0" w:type="dxa"/>
                    <w:left w:w="57" w:type="dxa"/>
                    <w:bottom w:w="0" w:type="dxa"/>
                    <w:right w:w="57" w:type="dxa"/>
                  </w:tcMar>
                  <w:vAlign w:val="center"/>
                </w:tcPr>
                <w:p w14:paraId="1DDE114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031EDDB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2#商业区</w:t>
                  </w:r>
                </w:p>
              </w:tc>
              <w:tc>
                <w:tcPr>
                  <w:tcW w:w="734" w:type="pct"/>
                  <w:tcBorders>
                    <w:tl2br w:val="nil"/>
                    <w:tr2bl w:val="nil"/>
                  </w:tcBorders>
                  <w:shd w:val="clear" w:color="auto" w:fill="auto"/>
                  <w:noWrap w:val="0"/>
                  <w:tcMar>
                    <w:top w:w="0" w:type="dxa"/>
                    <w:left w:w="57" w:type="dxa"/>
                    <w:bottom w:w="0" w:type="dxa"/>
                    <w:right w:w="57" w:type="dxa"/>
                  </w:tcMar>
                  <w:vAlign w:val="center"/>
                </w:tcPr>
                <w:p w14:paraId="7253D7C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商业</w:t>
                  </w:r>
                </w:p>
              </w:tc>
              <w:tc>
                <w:tcPr>
                  <w:tcW w:w="1321" w:type="pct"/>
                  <w:tcBorders>
                    <w:tl2br w:val="nil"/>
                    <w:tr2bl w:val="nil"/>
                  </w:tcBorders>
                  <w:shd w:val="clear" w:color="auto" w:fill="auto"/>
                  <w:noWrap w:val="0"/>
                  <w:tcMar>
                    <w:top w:w="0" w:type="dxa"/>
                    <w:left w:w="57" w:type="dxa"/>
                    <w:bottom w:w="0" w:type="dxa"/>
                    <w:right w:w="57" w:type="dxa"/>
                  </w:tcMar>
                  <w:vAlign w:val="center"/>
                </w:tcPr>
                <w:p w14:paraId="4189D24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018C98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0"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03345715">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restart"/>
                  <w:tcBorders>
                    <w:tl2br w:val="nil"/>
                    <w:tr2bl w:val="nil"/>
                  </w:tcBorders>
                  <w:shd w:val="clear" w:color="auto" w:fill="auto"/>
                  <w:noWrap w:val="0"/>
                  <w:tcMar>
                    <w:top w:w="0" w:type="dxa"/>
                    <w:left w:w="57" w:type="dxa"/>
                    <w:bottom w:w="0" w:type="dxa"/>
                    <w:right w:w="57" w:type="dxa"/>
                  </w:tcMar>
                  <w:vAlign w:val="center"/>
                </w:tcPr>
                <w:p w14:paraId="11EF868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南面</w:t>
                  </w:r>
                </w:p>
              </w:tc>
              <w:tc>
                <w:tcPr>
                  <w:tcW w:w="548" w:type="pct"/>
                  <w:tcBorders>
                    <w:tl2br w:val="nil"/>
                    <w:tr2bl w:val="nil"/>
                  </w:tcBorders>
                  <w:shd w:val="clear" w:color="auto" w:fill="auto"/>
                  <w:noWrap w:val="0"/>
                  <w:tcMar>
                    <w:top w:w="0" w:type="dxa"/>
                    <w:left w:w="57" w:type="dxa"/>
                    <w:bottom w:w="0" w:type="dxa"/>
                    <w:right w:w="57" w:type="dxa"/>
                  </w:tcMar>
                  <w:vAlign w:val="center"/>
                </w:tcPr>
                <w:p w14:paraId="7E14E75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522" w:type="pct"/>
                  <w:tcBorders>
                    <w:tl2br w:val="nil"/>
                    <w:tr2bl w:val="nil"/>
                  </w:tcBorders>
                  <w:shd w:val="clear" w:color="auto" w:fill="auto"/>
                  <w:noWrap w:val="0"/>
                  <w:tcMar>
                    <w:top w:w="0" w:type="dxa"/>
                    <w:left w:w="57" w:type="dxa"/>
                    <w:bottom w:w="0" w:type="dxa"/>
                    <w:right w:w="57" w:type="dxa"/>
                  </w:tcMar>
                  <w:vAlign w:val="center"/>
                </w:tcPr>
                <w:p w14:paraId="194EBD4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492" w:type="pct"/>
                  <w:tcBorders>
                    <w:tl2br w:val="nil"/>
                    <w:tr2bl w:val="nil"/>
                  </w:tcBorders>
                  <w:shd w:val="clear" w:color="auto" w:fill="auto"/>
                  <w:noWrap w:val="0"/>
                  <w:tcMar>
                    <w:top w:w="0" w:type="dxa"/>
                    <w:left w:w="57" w:type="dxa"/>
                    <w:bottom w:w="0" w:type="dxa"/>
                    <w:right w:w="57" w:type="dxa"/>
                  </w:tcMar>
                  <w:vAlign w:val="center"/>
                </w:tcPr>
                <w:p w14:paraId="6FCEB867">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42CAD87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甘孜州康藏商贸有限公司</w:t>
                  </w:r>
                </w:p>
              </w:tc>
              <w:tc>
                <w:tcPr>
                  <w:tcW w:w="734" w:type="pct"/>
                  <w:tcBorders>
                    <w:tl2br w:val="nil"/>
                    <w:tr2bl w:val="nil"/>
                  </w:tcBorders>
                  <w:shd w:val="clear" w:color="auto" w:fill="auto"/>
                  <w:noWrap w:val="0"/>
                  <w:tcMar>
                    <w:top w:w="0" w:type="dxa"/>
                    <w:left w:w="57" w:type="dxa"/>
                    <w:bottom w:w="0" w:type="dxa"/>
                    <w:right w:w="57" w:type="dxa"/>
                  </w:tcMar>
                  <w:vAlign w:val="center"/>
                </w:tcPr>
                <w:p w14:paraId="4E8964E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工厂</w:t>
                  </w:r>
                </w:p>
              </w:tc>
              <w:tc>
                <w:tcPr>
                  <w:tcW w:w="1321" w:type="pct"/>
                  <w:tcBorders>
                    <w:tl2br w:val="nil"/>
                    <w:tr2bl w:val="nil"/>
                  </w:tcBorders>
                  <w:shd w:val="clear" w:color="auto" w:fill="auto"/>
                  <w:noWrap w:val="0"/>
                  <w:tcMar>
                    <w:top w:w="0" w:type="dxa"/>
                    <w:left w:w="57" w:type="dxa"/>
                    <w:bottom w:w="0" w:type="dxa"/>
                    <w:right w:w="57" w:type="dxa"/>
                  </w:tcMar>
                  <w:vAlign w:val="center"/>
                </w:tcPr>
                <w:p w14:paraId="0CD58D1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01C2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7DD9E086">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0" w:type="dxa"/>
                    <w:left w:w="57" w:type="dxa"/>
                    <w:bottom w:w="0" w:type="dxa"/>
                    <w:right w:w="57" w:type="dxa"/>
                  </w:tcMar>
                  <w:vAlign w:val="center"/>
                </w:tcPr>
                <w:p w14:paraId="730EC24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48" w:type="pct"/>
                  <w:tcBorders>
                    <w:tl2br w:val="nil"/>
                    <w:tr2bl w:val="nil"/>
                  </w:tcBorders>
                  <w:shd w:val="clear" w:color="auto" w:fill="auto"/>
                  <w:noWrap w:val="0"/>
                  <w:tcMar>
                    <w:top w:w="0" w:type="dxa"/>
                    <w:left w:w="57" w:type="dxa"/>
                    <w:bottom w:w="0" w:type="dxa"/>
                    <w:right w:w="57" w:type="dxa"/>
                  </w:tcMar>
                  <w:vAlign w:val="center"/>
                </w:tcPr>
                <w:p w14:paraId="1F19025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9</w:t>
                  </w:r>
                </w:p>
              </w:tc>
              <w:tc>
                <w:tcPr>
                  <w:tcW w:w="522" w:type="pct"/>
                  <w:tcBorders>
                    <w:tl2br w:val="nil"/>
                    <w:tr2bl w:val="nil"/>
                  </w:tcBorders>
                  <w:shd w:val="clear" w:color="auto" w:fill="auto"/>
                  <w:noWrap w:val="0"/>
                  <w:tcMar>
                    <w:top w:w="0" w:type="dxa"/>
                    <w:left w:w="57" w:type="dxa"/>
                    <w:bottom w:w="0" w:type="dxa"/>
                    <w:right w:w="57" w:type="dxa"/>
                  </w:tcMar>
                  <w:vAlign w:val="center"/>
                </w:tcPr>
                <w:p w14:paraId="751D17A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highlight w:val="none"/>
                      <w:lang w:val="en-US" w:eastAsia="zh-CN"/>
                      <w14:textFill>
                        <w14:solidFill>
                          <w14:schemeClr w14:val="tx1"/>
                        </w14:solidFill>
                      </w14:textFill>
                    </w:rPr>
                    <w:t>13</w:t>
                  </w:r>
                </w:p>
              </w:tc>
              <w:tc>
                <w:tcPr>
                  <w:tcW w:w="492" w:type="pct"/>
                  <w:tcBorders>
                    <w:tl2br w:val="nil"/>
                    <w:tr2bl w:val="nil"/>
                  </w:tcBorders>
                  <w:shd w:val="clear" w:color="auto" w:fill="auto"/>
                  <w:noWrap w:val="0"/>
                  <w:tcMar>
                    <w:top w:w="0" w:type="dxa"/>
                    <w:left w:w="57" w:type="dxa"/>
                    <w:bottom w:w="0" w:type="dxa"/>
                    <w:right w:w="57" w:type="dxa"/>
                  </w:tcMar>
                  <w:vAlign w:val="center"/>
                </w:tcPr>
                <w:p w14:paraId="07667EC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26BE2017">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家具厂</w:t>
                  </w:r>
                </w:p>
              </w:tc>
              <w:tc>
                <w:tcPr>
                  <w:tcW w:w="734" w:type="pct"/>
                  <w:tcBorders>
                    <w:tl2br w:val="nil"/>
                    <w:tr2bl w:val="nil"/>
                  </w:tcBorders>
                  <w:shd w:val="clear" w:color="auto" w:fill="auto"/>
                  <w:noWrap w:val="0"/>
                  <w:tcMar>
                    <w:top w:w="0" w:type="dxa"/>
                    <w:left w:w="57" w:type="dxa"/>
                    <w:bottom w:w="0" w:type="dxa"/>
                    <w:right w:w="57" w:type="dxa"/>
                  </w:tcMar>
                  <w:vAlign w:val="center"/>
                </w:tcPr>
                <w:p w14:paraId="77EA181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工厂</w:t>
                  </w:r>
                </w:p>
              </w:tc>
              <w:tc>
                <w:tcPr>
                  <w:tcW w:w="1321" w:type="pct"/>
                  <w:tcBorders>
                    <w:tl2br w:val="nil"/>
                    <w:tr2bl w:val="nil"/>
                  </w:tcBorders>
                  <w:shd w:val="clear" w:color="auto" w:fill="auto"/>
                  <w:noWrap w:val="0"/>
                  <w:tcMar>
                    <w:top w:w="0" w:type="dxa"/>
                    <w:left w:w="57" w:type="dxa"/>
                    <w:bottom w:w="0" w:type="dxa"/>
                    <w:right w:w="57" w:type="dxa"/>
                  </w:tcMar>
                  <w:vAlign w:val="center"/>
                </w:tcPr>
                <w:p w14:paraId="100A401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68D4AB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102E4BAD">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0" w:type="dxa"/>
                    <w:left w:w="57" w:type="dxa"/>
                    <w:bottom w:w="0" w:type="dxa"/>
                    <w:right w:w="57" w:type="dxa"/>
                  </w:tcMar>
                  <w:vAlign w:val="center"/>
                </w:tcPr>
                <w:p w14:paraId="2879B04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48" w:type="pct"/>
                  <w:tcBorders>
                    <w:tl2br w:val="nil"/>
                    <w:tr2bl w:val="nil"/>
                  </w:tcBorders>
                  <w:shd w:val="clear" w:color="auto" w:fill="auto"/>
                  <w:noWrap w:val="0"/>
                  <w:tcMar>
                    <w:top w:w="0" w:type="dxa"/>
                    <w:left w:w="57" w:type="dxa"/>
                    <w:bottom w:w="0" w:type="dxa"/>
                    <w:right w:w="57" w:type="dxa"/>
                  </w:tcMar>
                  <w:vAlign w:val="center"/>
                </w:tcPr>
                <w:p w14:paraId="2F3C839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9</w:t>
                  </w:r>
                </w:p>
              </w:tc>
              <w:tc>
                <w:tcPr>
                  <w:tcW w:w="522" w:type="pct"/>
                  <w:tcBorders>
                    <w:tl2br w:val="nil"/>
                    <w:tr2bl w:val="nil"/>
                  </w:tcBorders>
                  <w:shd w:val="clear" w:color="auto" w:fill="auto"/>
                  <w:noWrap w:val="0"/>
                  <w:tcMar>
                    <w:top w:w="0" w:type="dxa"/>
                    <w:left w:w="57" w:type="dxa"/>
                    <w:bottom w:w="0" w:type="dxa"/>
                    <w:right w:w="57" w:type="dxa"/>
                  </w:tcMar>
                  <w:vAlign w:val="center"/>
                </w:tcPr>
                <w:p w14:paraId="1CE6245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highlight w:val="none"/>
                      <w:lang w:val="en-US" w:eastAsia="zh-CN"/>
                      <w14:textFill>
                        <w14:solidFill>
                          <w14:schemeClr w14:val="tx1"/>
                        </w14:solidFill>
                      </w14:textFill>
                    </w:rPr>
                    <w:t>13</w:t>
                  </w:r>
                </w:p>
              </w:tc>
              <w:tc>
                <w:tcPr>
                  <w:tcW w:w="492" w:type="pct"/>
                  <w:tcBorders>
                    <w:tl2br w:val="nil"/>
                    <w:tr2bl w:val="nil"/>
                  </w:tcBorders>
                  <w:shd w:val="clear" w:color="auto" w:fill="auto"/>
                  <w:noWrap w:val="0"/>
                  <w:tcMar>
                    <w:top w:w="0" w:type="dxa"/>
                    <w:left w:w="57" w:type="dxa"/>
                    <w:bottom w:w="0" w:type="dxa"/>
                    <w:right w:w="57" w:type="dxa"/>
                  </w:tcMar>
                  <w:vAlign w:val="center"/>
                </w:tcPr>
                <w:p w14:paraId="7049E95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67285857">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汽修厂</w:t>
                  </w:r>
                </w:p>
              </w:tc>
              <w:tc>
                <w:tcPr>
                  <w:tcW w:w="734" w:type="pct"/>
                  <w:tcBorders>
                    <w:tl2br w:val="nil"/>
                    <w:tr2bl w:val="nil"/>
                  </w:tcBorders>
                  <w:shd w:val="clear" w:color="auto" w:fill="auto"/>
                  <w:noWrap w:val="0"/>
                  <w:tcMar>
                    <w:top w:w="0" w:type="dxa"/>
                    <w:left w:w="57" w:type="dxa"/>
                    <w:bottom w:w="0" w:type="dxa"/>
                    <w:right w:w="57" w:type="dxa"/>
                  </w:tcMar>
                  <w:vAlign w:val="center"/>
                </w:tcPr>
                <w:p w14:paraId="67550C3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工厂</w:t>
                  </w:r>
                </w:p>
              </w:tc>
              <w:tc>
                <w:tcPr>
                  <w:tcW w:w="1321" w:type="pct"/>
                  <w:tcBorders>
                    <w:tl2br w:val="nil"/>
                    <w:tr2bl w:val="nil"/>
                  </w:tcBorders>
                  <w:shd w:val="clear" w:color="auto" w:fill="auto"/>
                  <w:noWrap w:val="0"/>
                  <w:tcMar>
                    <w:top w:w="0" w:type="dxa"/>
                    <w:left w:w="57" w:type="dxa"/>
                    <w:bottom w:w="0" w:type="dxa"/>
                    <w:right w:w="57" w:type="dxa"/>
                  </w:tcMar>
                  <w:vAlign w:val="center"/>
                </w:tcPr>
                <w:p w14:paraId="416BBA3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57D46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60A30205">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tcBorders>
                    <w:tl2br w:val="nil"/>
                    <w:tr2bl w:val="nil"/>
                  </w:tcBorders>
                  <w:shd w:val="clear" w:color="auto" w:fill="auto"/>
                  <w:noWrap w:val="0"/>
                  <w:tcMar>
                    <w:top w:w="0" w:type="dxa"/>
                    <w:left w:w="57" w:type="dxa"/>
                    <w:bottom w:w="0" w:type="dxa"/>
                    <w:right w:w="57" w:type="dxa"/>
                  </w:tcMar>
                  <w:vAlign w:val="center"/>
                </w:tcPr>
                <w:p w14:paraId="1CC7E18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东南</w:t>
                  </w:r>
                  <w:r>
                    <w:rPr>
                      <w:rFonts w:hint="default" w:ascii="Times New Roman" w:hAnsi="Times New Roman" w:cs="Times New Roman"/>
                      <w:color w:val="000000" w:themeColor="text1"/>
                      <w:sz w:val="21"/>
                      <w:szCs w:val="21"/>
                      <w:highlight w:val="none"/>
                      <w14:textFill>
                        <w14:solidFill>
                          <w14:schemeClr w14:val="tx1"/>
                        </w14:solidFill>
                      </w14:textFill>
                    </w:rPr>
                    <w:t>面</w:t>
                  </w:r>
                </w:p>
              </w:tc>
              <w:tc>
                <w:tcPr>
                  <w:tcW w:w="548" w:type="pct"/>
                  <w:tcBorders>
                    <w:tl2br w:val="nil"/>
                    <w:tr2bl w:val="nil"/>
                  </w:tcBorders>
                  <w:shd w:val="clear" w:color="auto" w:fill="auto"/>
                  <w:noWrap w:val="0"/>
                  <w:tcMar>
                    <w:top w:w="0" w:type="dxa"/>
                    <w:left w:w="57" w:type="dxa"/>
                    <w:bottom w:w="0" w:type="dxa"/>
                    <w:right w:w="57" w:type="dxa"/>
                  </w:tcMar>
                  <w:vAlign w:val="center"/>
                </w:tcPr>
                <w:p w14:paraId="63DF23C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138</w:t>
                  </w:r>
                </w:p>
              </w:tc>
              <w:tc>
                <w:tcPr>
                  <w:tcW w:w="522" w:type="pct"/>
                  <w:tcBorders>
                    <w:tl2br w:val="nil"/>
                    <w:tr2bl w:val="nil"/>
                  </w:tcBorders>
                  <w:shd w:val="clear" w:color="auto" w:fill="auto"/>
                  <w:noWrap w:val="0"/>
                  <w:tcMar>
                    <w:top w:w="0" w:type="dxa"/>
                    <w:left w:w="57" w:type="dxa"/>
                    <w:bottom w:w="0" w:type="dxa"/>
                    <w:right w:w="57" w:type="dxa"/>
                  </w:tcMar>
                  <w:vAlign w:val="center"/>
                </w:tcPr>
                <w:p w14:paraId="4E8E89B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139</w:t>
                  </w:r>
                </w:p>
              </w:tc>
              <w:tc>
                <w:tcPr>
                  <w:tcW w:w="492" w:type="pct"/>
                  <w:tcBorders>
                    <w:tl2br w:val="nil"/>
                    <w:tr2bl w:val="nil"/>
                  </w:tcBorders>
                  <w:shd w:val="clear" w:color="auto" w:fill="auto"/>
                  <w:noWrap w:val="0"/>
                  <w:tcMar>
                    <w:top w:w="0" w:type="dxa"/>
                    <w:left w:w="57" w:type="dxa"/>
                    <w:bottom w:w="0" w:type="dxa"/>
                    <w:right w:w="57" w:type="dxa"/>
                  </w:tcMar>
                  <w:vAlign w:val="center"/>
                </w:tcPr>
                <w:p w14:paraId="6BE6269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5B87A5D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工程质量检测公司</w:t>
                  </w:r>
                </w:p>
              </w:tc>
              <w:tc>
                <w:tcPr>
                  <w:tcW w:w="734" w:type="pct"/>
                  <w:tcBorders>
                    <w:tl2br w:val="nil"/>
                    <w:tr2bl w:val="nil"/>
                  </w:tcBorders>
                  <w:shd w:val="clear" w:color="auto" w:fill="auto"/>
                  <w:noWrap w:val="0"/>
                  <w:tcMar>
                    <w:top w:w="0" w:type="dxa"/>
                    <w:left w:w="57" w:type="dxa"/>
                    <w:bottom w:w="0" w:type="dxa"/>
                    <w:right w:w="57" w:type="dxa"/>
                  </w:tcMar>
                  <w:vAlign w:val="center"/>
                </w:tcPr>
                <w:p w14:paraId="0FF98CB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2"/>
                      <w:sz w:val="21"/>
                      <w:szCs w:val="21"/>
                      <w:highlight w:val="none"/>
                      <w:lang w:val="en-US" w:eastAsia="zh-CN"/>
                      <w14:textFill>
                        <w14:solidFill>
                          <w14:schemeClr w14:val="tx1"/>
                        </w14:solidFill>
                      </w14:textFill>
                    </w:rPr>
                    <w:t>检测单位</w:t>
                  </w:r>
                </w:p>
              </w:tc>
              <w:tc>
                <w:tcPr>
                  <w:tcW w:w="1321" w:type="pct"/>
                  <w:tcBorders>
                    <w:tl2br w:val="nil"/>
                    <w:tr2bl w:val="nil"/>
                  </w:tcBorders>
                  <w:shd w:val="clear" w:color="auto" w:fill="auto"/>
                  <w:noWrap w:val="0"/>
                  <w:tcMar>
                    <w:top w:w="0" w:type="dxa"/>
                    <w:left w:w="57" w:type="dxa"/>
                    <w:bottom w:w="0" w:type="dxa"/>
                    <w:right w:w="57" w:type="dxa"/>
                  </w:tcMar>
                  <w:vAlign w:val="center"/>
                </w:tcPr>
                <w:p w14:paraId="1CFCA04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r>
            <w:tr w14:paraId="7584FD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46ABD5BC">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restart"/>
                  <w:tcBorders>
                    <w:tl2br w:val="nil"/>
                    <w:tr2bl w:val="nil"/>
                  </w:tcBorders>
                  <w:shd w:val="clear" w:color="auto" w:fill="auto"/>
                  <w:noWrap w:val="0"/>
                  <w:tcMar>
                    <w:top w:w="0" w:type="dxa"/>
                    <w:left w:w="57" w:type="dxa"/>
                    <w:bottom w:w="0" w:type="dxa"/>
                    <w:right w:w="57" w:type="dxa"/>
                  </w:tcMar>
                  <w:vAlign w:val="center"/>
                </w:tcPr>
                <w:p w14:paraId="48D23E2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西北</w:t>
                  </w:r>
                </w:p>
              </w:tc>
              <w:tc>
                <w:tcPr>
                  <w:tcW w:w="548" w:type="pct"/>
                  <w:tcBorders>
                    <w:tl2br w:val="nil"/>
                    <w:tr2bl w:val="nil"/>
                  </w:tcBorders>
                  <w:shd w:val="clear" w:color="auto" w:fill="auto"/>
                  <w:noWrap w:val="0"/>
                  <w:tcMar>
                    <w:top w:w="0" w:type="dxa"/>
                    <w:left w:w="57" w:type="dxa"/>
                    <w:bottom w:w="0" w:type="dxa"/>
                    <w:right w:w="57" w:type="dxa"/>
                  </w:tcMar>
                  <w:vAlign w:val="center"/>
                </w:tcPr>
                <w:p w14:paraId="6E47D88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178</w:t>
                  </w:r>
                </w:p>
              </w:tc>
              <w:tc>
                <w:tcPr>
                  <w:tcW w:w="522" w:type="pct"/>
                  <w:tcBorders>
                    <w:tl2br w:val="nil"/>
                    <w:tr2bl w:val="nil"/>
                  </w:tcBorders>
                  <w:shd w:val="clear" w:color="auto" w:fill="auto"/>
                  <w:noWrap w:val="0"/>
                  <w:tcMar>
                    <w:top w:w="0" w:type="dxa"/>
                    <w:left w:w="57" w:type="dxa"/>
                    <w:bottom w:w="0" w:type="dxa"/>
                    <w:right w:w="57" w:type="dxa"/>
                  </w:tcMar>
                  <w:vAlign w:val="center"/>
                </w:tcPr>
                <w:p w14:paraId="378BECB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178</w:t>
                  </w:r>
                </w:p>
              </w:tc>
              <w:tc>
                <w:tcPr>
                  <w:tcW w:w="492" w:type="pct"/>
                  <w:tcBorders>
                    <w:tl2br w:val="nil"/>
                    <w:tr2bl w:val="nil"/>
                  </w:tcBorders>
                  <w:shd w:val="clear" w:color="auto" w:fill="auto"/>
                  <w:noWrap w:val="0"/>
                  <w:tcMar>
                    <w:top w:w="0" w:type="dxa"/>
                    <w:left w:w="57" w:type="dxa"/>
                    <w:bottom w:w="0" w:type="dxa"/>
                    <w:right w:w="57" w:type="dxa"/>
                  </w:tcMar>
                  <w:vAlign w:val="center"/>
                </w:tcPr>
                <w:p w14:paraId="1AC8755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20F536F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#居民区</w:t>
                  </w:r>
                </w:p>
              </w:tc>
              <w:tc>
                <w:tcPr>
                  <w:tcW w:w="734" w:type="pct"/>
                  <w:tcBorders>
                    <w:tl2br w:val="nil"/>
                    <w:tr2bl w:val="nil"/>
                  </w:tcBorders>
                  <w:shd w:val="clear" w:color="auto" w:fill="auto"/>
                  <w:noWrap w:val="0"/>
                  <w:tcMar>
                    <w:top w:w="0" w:type="dxa"/>
                    <w:left w:w="57" w:type="dxa"/>
                    <w:bottom w:w="0" w:type="dxa"/>
                    <w:right w:w="57" w:type="dxa"/>
                  </w:tcMar>
                  <w:vAlign w:val="center"/>
                </w:tcPr>
                <w:p w14:paraId="4B0322D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居民</w:t>
                  </w:r>
                </w:p>
              </w:tc>
              <w:tc>
                <w:tcPr>
                  <w:tcW w:w="1321" w:type="pct"/>
                  <w:tcBorders>
                    <w:tl2br w:val="nil"/>
                    <w:tr2bl w:val="nil"/>
                  </w:tcBorders>
                  <w:shd w:val="clear" w:color="auto" w:fill="auto"/>
                  <w:noWrap w:val="0"/>
                  <w:tcMar>
                    <w:top w:w="0" w:type="dxa"/>
                    <w:left w:w="57" w:type="dxa"/>
                    <w:bottom w:w="0" w:type="dxa"/>
                    <w:right w:w="57" w:type="dxa"/>
                  </w:tcMar>
                  <w:vAlign w:val="center"/>
                </w:tcPr>
                <w:p w14:paraId="44C4AFB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5BED4C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 w:hRule="atLeast"/>
                <w:jc w:val="center"/>
              </w:trPr>
              <w:tc>
                <w:tcPr>
                  <w:tcW w:w="304" w:type="pct"/>
                  <w:tcBorders>
                    <w:tl2br w:val="nil"/>
                    <w:tr2bl w:val="nil"/>
                  </w:tcBorders>
                  <w:shd w:val="clear" w:color="auto" w:fill="auto"/>
                  <w:noWrap w:val="0"/>
                  <w:tcMar>
                    <w:top w:w="0" w:type="dxa"/>
                    <w:left w:w="57" w:type="dxa"/>
                    <w:bottom w:w="0" w:type="dxa"/>
                    <w:right w:w="57" w:type="dxa"/>
                  </w:tcMar>
                  <w:vAlign w:val="center"/>
                </w:tcPr>
                <w:p w14:paraId="28F49B8B">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0" w:type="dxa"/>
                    <w:left w:w="57" w:type="dxa"/>
                    <w:bottom w:w="0" w:type="dxa"/>
                    <w:right w:w="57" w:type="dxa"/>
                  </w:tcMar>
                  <w:vAlign w:val="center"/>
                </w:tcPr>
                <w:p w14:paraId="7606E1A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548" w:type="pct"/>
                  <w:tcBorders>
                    <w:tl2br w:val="nil"/>
                    <w:tr2bl w:val="nil"/>
                  </w:tcBorders>
                  <w:shd w:val="clear" w:color="auto" w:fill="auto"/>
                  <w:noWrap w:val="0"/>
                  <w:tcMar>
                    <w:top w:w="0" w:type="dxa"/>
                    <w:left w:w="57" w:type="dxa"/>
                    <w:bottom w:w="0" w:type="dxa"/>
                    <w:right w:w="57" w:type="dxa"/>
                  </w:tcMar>
                  <w:vAlign w:val="center"/>
                </w:tcPr>
                <w:p w14:paraId="6A10D23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w:t>
                  </w:r>
                </w:p>
              </w:tc>
              <w:tc>
                <w:tcPr>
                  <w:tcW w:w="522" w:type="pct"/>
                  <w:tcBorders>
                    <w:tl2br w:val="nil"/>
                    <w:tr2bl w:val="nil"/>
                  </w:tcBorders>
                  <w:shd w:val="clear" w:color="auto" w:fill="auto"/>
                  <w:noWrap w:val="0"/>
                  <w:tcMar>
                    <w:top w:w="0" w:type="dxa"/>
                    <w:left w:w="57" w:type="dxa"/>
                    <w:bottom w:w="0" w:type="dxa"/>
                    <w:right w:w="57" w:type="dxa"/>
                  </w:tcMar>
                  <w:vAlign w:val="center"/>
                </w:tcPr>
                <w:p w14:paraId="6A1A45E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56</w:t>
                  </w:r>
                </w:p>
              </w:tc>
              <w:tc>
                <w:tcPr>
                  <w:tcW w:w="492" w:type="pct"/>
                  <w:tcBorders>
                    <w:tl2br w:val="nil"/>
                    <w:tr2bl w:val="nil"/>
                  </w:tcBorders>
                  <w:shd w:val="clear" w:color="auto" w:fill="auto"/>
                  <w:noWrap w:val="0"/>
                  <w:tcMar>
                    <w:top w:w="0" w:type="dxa"/>
                    <w:left w:w="57" w:type="dxa"/>
                    <w:bottom w:w="0" w:type="dxa"/>
                    <w:right w:w="57" w:type="dxa"/>
                  </w:tcMar>
                  <w:vAlign w:val="center"/>
                </w:tcPr>
                <w:p w14:paraId="009BE8D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674" w:type="pct"/>
                  <w:tcBorders>
                    <w:tl2br w:val="nil"/>
                    <w:tr2bl w:val="nil"/>
                  </w:tcBorders>
                  <w:shd w:val="clear" w:color="auto" w:fill="auto"/>
                  <w:noWrap w:val="0"/>
                  <w:tcMar>
                    <w:top w:w="0" w:type="dxa"/>
                    <w:left w:w="57" w:type="dxa"/>
                    <w:bottom w:w="0" w:type="dxa"/>
                    <w:right w:w="57" w:type="dxa"/>
                  </w:tcMar>
                  <w:vAlign w:val="center"/>
                </w:tcPr>
                <w:p w14:paraId="77A602A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2"/>
                      <w:sz w:val="21"/>
                      <w:szCs w:val="21"/>
                      <w:highlight w:val="none"/>
                      <w:lang w:val="en-US" w:eastAsia="zh-CN"/>
                      <w14:textFill>
                        <w14:solidFill>
                          <w14:schemeClr w14:val="tx1"/>
                        </w14:solidFill>
                      </w14:textFill>
                    </w:rPr>
                    <w:t>1#商业区</w:t>
                  </w:r>
                </w:p>
              </w:tc>
              <w:tc>
                <w:tcPr>
                  <w:tcW w:w="734" w:type="pct"/>
                  <w:tcBorders>
                    <w:tl2br w:val="nil"/>
                    <w:tr2bl w:val="nil"/>
                  </w:tcBorders>
                  <w:shd w:val="clear" w:color="auto" w:fill="auto"/>
                  <w:noWrap w:val="0"/>
                  <w:tcMar>
                    <w:top w:w="0" w:type="dxa"/>
                    <w:left w:w="57" w:type="dxa"/>
                    <w:bottom w:w="0" w:type="dxa"/>
                    <w:right w:w="57" w:type="dxa"/>
                  </w:tcMar>
                  <w:vAlign w:val="center"/>
                </w:tcPr>
                <w:p w14:paraId="089B4E6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商业</w:t>
                  </w:r>
                </w:p>
              </w:tc>
              <w:tc>
                <w:tcPr>
                  <w:tcW w:w="1321" w:type="pct"/>
                  <w:tcBorders>
                    <w:tl2br w:val="nil"/>
                    <w:tr2bl w:val="nil"/>
                  </w:tcBorders>
                  <w:shd w:val="clear" w:color="auto" w:fill="auto"/>
                  <w:noWrap w:val="0"/>
                  <w:tcMar>
                    <w:top w:w="0" w:type="dxa"/>
                    <w:left w:w="57" w:type="dxa"/>
                    <w:bottom w:w="0" w:type="dxa"/>
                    <w:right w:w="57" w:type="dxa"/>
                  </w:tcMar>
                  <w:vAlign w:val="center"/>
                </w:tcPr>
                <w:p w14:paraId="22E934B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2"/>
                      <w:sz w:val="21"/>
                      <w:szCs w:val="21"/>
                      <w:highlight w:val="none"/>
                      <w:lang w:val="en-US" w:eastAsia="zh-CN"/>
                      <w14:textFill>
                        <w14:solidFill>
                          <w14:schemeClr w14:val="tx1"/>
                        </w14:solidFill>
                      </w14:textFill>
                    </w:rPr>
                    <w:t>/</w:t>
                  </w:r>
                </w:p>
              </w:tc>
            </w:tr>
          </w:tbl>
          <w:p w14:paraId="1627F05F">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综上分析，项目</w:t>
            </w:r>
            <w:r>
              <w:rPr>
                <w:rFonts w:hint="eastAsia"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50m范围内家具厂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汽修厂</w:t>
            </w:r>
            <w:r>
              <w:rPr>
                <w:rFonts w:hint="eastAsia" w:cs="Times New Roman"/>
                <w:color w:val="000000" w:themeColor="text1"/>
                <w:sz w:val="24"/>
                <w:szCs w:val="24"/>
                <w:highlight w:val="none"/>
                <w:lang w:val="en-US" w:eastAsia="zh-CN"/>
                <w14:textFill>
                  <w14:solidFill>
                    <w14:schemeClr w14:val="tx1"/>
                  </w14:solidFill>
                </w14:textFill>
              </w:rPr>
              <w:t>，甘孜永康绿色食品有限公司。其中甘孜永康绿色食品有限公司距离产尘点碎石堆场车间53m。</w:t>
            </w:r>
          </w:p>
          <w:p w14:paraId="781D9BA9">
            <w:pPr>
              <w:keepNext w:val="0"/>
              <w:keepLines w:val="0"/>
              <w:pageBreakBefore w:val="0"/>
              <w:kinsoku/>
              <w:wordWrap/>
              <w:overflowPunct/>
              <w:bidi w:val="0"/>
              <w:adjustRightInd/>
              <w:snapToGrid/>
              <w:spacing w:beforeLines="0" w:beforeAutospacing="0" w:afterLines="0" w:afterAutospacing="0" w:line="360" w:lineRule="auto"/>
              <w:ind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（2）项目对外环境的影响分析</w:t>
            </w:r>
          </w:p>
          <w:p w14:paraId="2DDE0448">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本项目在生产过程中主要产生废水和粉尘污染。项目生产废水主要来源于生活污水、食堂废水、</w:t>
            </w:r>
            <w:r>
              <w:rPr>
                <w:rFonts w:hint="eastAsia"/>
                <w:color w:val="000000" w:themeColor="text1"/>
                <w:sz w:val="24"/>
                <w:szCs w:val="24"/>
                <w:highlight w:val="none"/>
                <w14:textFill>
                  <w14:solidFill>
                    <w14:schemeClr w14:val="tx1"/>
                  </w14:solidFill>
                </w14:textFill>
              </w:rPr>
              <w:t>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辆清洗废水、运输车辆轮胎冲洗废水、搅拌设备清洗废水、地面冲洗废水、喷雾废水、洒水废水。食堂废水经过隔油器隔油处理后，同生活污水一同经过</w:t>
            </w:r>
            <w:r>
              <w:rPr>
                <w:rFonts w:hint="eastAsia" w:cs="Times New Roman"/>
                <w:color w:val="000000" w:themeColor="text1"/>
                <w:sz w:val="24"/>
                <w:szCs w:val="24"/>
                <w:highlight w:val="none"/>
                <w:lang w:val="en-US" w:eastAsia="zh-CN"/>
                <w14:textFill>
                  <w14:solidFill>
                    <w14:schemeClr w14:val="tx1"/>
                  </w14:solidFill>
                </w14:textFill>
              </w:rPr>
              <w:t>预处理池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进入甘孜县县城污水处理厂；车辆清洗废水、运输车辆轮胎冲洗废水、搅拌设备清洗废水、地面冲洗废水厂内三级沉淀池处理后回用；喷雾废水、洒水废水蒸发消耗；项目产生的废水不外排。营运期废气为有组织和无组织粉尘，有组织粉尘通过除尘器处理后排气筒高空排放。无组织粉尘采取加强物料运输和</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卸料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管理，实施文明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卸料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，封闭料场，增加喷雾设施，平时加强厂区内的清扫工作，并且对厂区道路和堆料场定时洒水，同时建立健全科学的操作规程和制度，通过采取以上措施后可以做到厂界达标排放。</w:t>
            </w:r>
          </w:p>
          <w:p w14:paraId="27B568FA">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综上，项目对外环境的影响较小。</w:t>
            </w:r>
          </w:p>
          <w:p w14:paraId="070B6D4A">
            <w:pPr>
              <w:spacing w:beforeLines="0" w:afterLines="0" w:line="360" w:lineRule="auto"/>
              <w:ind w:firstLine="482" w:firstLineChars="200"/>
              <w:jc w:val="left"/>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lang w:val="en-US" w:eastAsia="zh-CN"/>
                <w14:textFill>
                  <w14:solidFill>
                    <w14:schemeClr w14:val="tx1"/>
                  </w14:solidFill>
                </w14:textFill>
              </w:rPr>
              <w:t>（3） 外环境对项目的影响分析</w:t>
            </w:r>
          </w:p>
          <w:p w14:paraId="5A1A6F10">
            <w:pPr>
              <w:spacing w:beforeLines="0" w:afterLines="0" w:line="360" w:lineRule="auto"/>
              <w:ind w:firstLine="480" w:firstLineChars="200"/>
              <w:jc w:val="left"/>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t>本项目为商砼站建设项目，对外环境要求不敏感，项目周边主要为</w:t>
            </w:r>
            <w:r>
              <w:rPr>
                <w:rFonts w:hint="eastAsia"/>
                <w:color w:val="000000" w:themeColor="text1"/>
                <w:sz w:val="24"/>
                <w:highlight w:val="none"/>
                <w:lang w:val="en-US" w:eastAsia="zh-CN"/>
                <w14:textFill>
                  <w14:solidFill>
                    <w14:schemeClr w14:val="tx1"/>
                  </w14:solidFill>
                </w14:textFill>
              </w:rPr>
              <w:t>工厂、商业区和居民区</w:t>
            </w:r>
            <w:r>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t>，不会对本项目产生影响。</w:t>
            </w:r>
          </w:p>
          <w:p w14:paraId="391BAF3A">
            <w:pPr>
              <w:spacing w:beforeLines="0" w:afterLines="0" w:line="360" w:lineRule="auto"/>
              <w:ind w:firstLine="480" w:firstLineChars="200"/>
              <w:jc w:val="left"/>
              <w:rPr>
                <w:rFonts w:hint="eastAsia" w:cs="Times New Roman"/>
                <w:b w:val="0"/>
                <w:bCs/>
                <w:color w:val="000000" w:themeColor="text1"/>
                <w:kern w:val="0"/>
                <w:sz w:val="24"/>
                <w:szCs w:val="24"/>
                <w:highlight w:val="none"/>
                <w:lang w:val="en-US" w:eastAsia="zh-CN"/>
                <w14:textFill>
                  <w14:solidFill>
                    <w14:schemeClr w14:val="tx1"/>
                  </w14:solidFill>
                </w14:textFill>
              </w:rPr>
            </w:pPr>
            <w:r>
              <w:rPr>
                <w:rFonts w:hint="eastAsia" w:cs="Times New Roman"/>
                <w:b w:val="0"/>
                <w:bCs/>
                <w:color w:val="000000" w:themeColor="text1"/>
                <w:kern w:val="0"/>
                <w:sz w:val="24"/>
                <w:szCs w:val="24"/>
                <w:highlight w:val="none"/>
                <w:lang w:val="en-US" w:eastAsia="zh-CN"/>
                <w14:textFill>
                  <w14:solidFill>
                    <w14:schemeClr w14:val="tx1"/>
                  </w14:solidFill>
                </w14:textFill>
              </w:rPr>
              <w:t xml:space="preserve">综上，本项目建设不存在特殊环境功能区制约因素，区域交通便利，供水、供电等基础设施健全，对外环境影响小，评价认为项目选址总体合理。 </w:t>
            </w:r>
          </w:p>
          <w:p w14:paraId="5320FCA9">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项目平面布置合理性分析</w:t>
            </w:r>
          </w:p>
          <w:p w14:paraId="6F3B0CF8">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总体功能设置合理性分析</w:t>
            </w:r>
          </w:p>
          <w:p w14:paraId="1AB70F70">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在规划与设计过程中，严格遵循国家及行业相关规范标准，始终以满足核心生产工艺流程为首要前提，同时兼顾安全生产、职业卫生、环境保护等强制性要求。厂区总平面布置充分融合了项目选址区域的自然地形地貌特征，通过对各类建（构）筑物与设施的功能属性进行科学分类与组合，实现了清晰的功能分区。设计目标在于最大限度地优化空间利用效率，布局紧凑、合理集约。此种布置方案不仅在促进生产作业的高效运行，同时也为日常管理提供了便利，确保了物料流动的顺畅性，并且在环境卫生、交通组织、安全保障以及消防安全等方面，均能充分满足企业内部运营需求及所属行业的严格要求。</w:t>
            </w:r>
          </w:p>
          <w:p w14:paraId="683D6E73">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w:t>
            </w:r>
            <w:r>
              <w:rPr>
                <w:rFonts w:hint="eastAsia" w:cs="Times New Roman"/>
                <w:color w:val="000000" w:themeColor="text1"/>
                <w:sz w:val="24"/>
                <w:szCs w:val="24"/>
                <w:highlight w:val="none"/>
                <w:lang w:val="en-US" w:eastAsia="zh-CN"/>
                <w14:textFill>
                  <w14:solidFill>
                    <w14:schemeClr w14:val="tx1"/>
                  </w14:solidFill>
                </w14:textFill>
              </w:rPr>
              <w:t>南侧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为主要出入口大门，并在入口规划三级沉淀池、专用洗车区域以及收集初期雨水的沉淀池，显著降低运输车辆活动对周边环境造成的潜在影响。生产区域的布置紧密围绕核心工艺流程展开：北侧区域规划为预留的闲置车间；厂区中部则布置了砂石骨料堆场，并配套建设了密闭式车间，确保物料存储规范整洁；厂区</w:t>
            </w:r>
            <w:r>
              <w:rPr>
                <w:rFonts w:hint="eastAsia" w:cs="Times New Roman"/>
                <w:color w:val="000000" w:themeColor="text1"/>
                <w:sz w:val="24"/>
                <w:szCs w:val="24"/>
                <w:highlight w:val="none"/>
                <w:lang w:val="en-US" w:eastAsia="zh-CN"/>
                <w14:textFill>
                  <w14:solidFill>
                    <w14:schemeClr w14:val="tx1"/>
                  </w14:solidFill>
                </w14:textFill>
              </w:rPr>
              <w:t>西侧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集中设置了行政办公区、员工食堂、危险废物专用贮存间以及一般固体废物暂存间，实现了辅助区域的集中管理；</w:t>
            </w:r>
            <w:r>
              <w:rPr>
                <w:rFonts w:hint="eastAsia" w:cs="Times New Roman"/>
                <w:color w:val="000000" w:themeColor="text1"/>
                <w:sz w:val="24"/>
                <w:szCs w:val="24"/>
                <w:highlight w:val="none"/>
                <w:lang w:val="en-US" w:eastAsia="zh-CN"/>
                <w14:textFill>
                  <w14:solidFill>
                    <w14:schemeClr w14:val="tx1"/>
                  </w14:solidFill>
                </w14:textFill>
              </w:rPr>
              <w:t>东侧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定位为核心生产区，建设有加工</w:t>
            </w:r>
            <w:r>
              <w:rPr>
                <w:rFonts w:hint="eastAsia" w:cs="Times New Roman"/>
                <w:color w:val="000000" w:themeColor="text1"/>
                <w:sz w:val="24"/>
                <w:szCs w:val="24"/>
                <w:highlight w:val="none"/>
                <w:lang w:val="en-US" w:eastAsia="zh-CN"/>
                <w14:textFill>
                  <w14:solidFill>
                    <w14:schemeClr w14:val="tx1"/>
                  </w14:solidFill>
                </w14:textFill>
              </w:rPr>
              <w:t>区域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，其内部集成布置了完整的搅拌生产线系统，具体包含物料上料区、输送设备区、搅拌主机区，并配套建设有粉煤灰筒仓与水泥筒仓等大型储料设施。</w:t>
            </w:r>
          </w:p>
          <w:p w14:paraId="5B39EB5D">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该项目布局结构清晰严谨，功能分区界限明确且协同高效。物料运输路线设计科学，有效保障了运输作业的便捷性和时效性，同时为生产环节间的紧密联系以及高效管理奠定了坚实基础。该方案在确保生产工艺流程顺畅的同时，也充分落实了安全生产与运输安全的核心要求。据此评估，本项目最终形成的总平面布置方案合理、高效、安全，具备良好的可实施性</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项目总平面布置合理。</w:t>
            </w:r>
          </w:p>
          <w:p w14:paraId="19A6B691">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（2）环保设施布置合理性分析</w:t>
            </w:r>
          </w:p>
          <w:p w14:paraId="552E4459">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废气处理措施方面，生产粉尘用喷雾降尘方式和生产车间封闭方式控制，水泥仓、粉煤灰仓粉尘通过脉冲袋式除尘器</w:t>
            </w:r>
            <w:r>
              <w:rPr>
                <w:rFonts w:hint="eastAsia" w:cs="Times New Roman"/>
                <w:color w:val="000000" w:themeColor="text1"/>
                <w:sz w:val="24"/>
                <w:szCs w:val="24"/>
                <w:highlight w:val="none"/>
                <w:lang w:val="en-US" w:eastAsia="zh-CN"/>
                <w14:textFill>
                  <w14:solidFill>
                    <w14:schemeClr w14:val="tx1"/>
                  </w14:solidFill>
                </w14:textFill>
              </w:rPr>
              <w:t>除尘控制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。结合项目区主导风向情况，项目区主导风向为西风，生活区位于加工区</w:t>
            </w:r>
            <w:r>
              <w:rPr>
                <w:rFonts w:hint="eastAsia" w:cs="Times New Roman"/>
                <w:color w:val="000000" w:themeColor="text1"/>
                <w:sz w:val="24"/>
                <w:szCs w:val="24"/>
                <w:highlight w:val="none"/>
                <w:lang w:val="en-US" w:eastAsia="zh-CN"/>
                <w14:textFill>
                  <w14:solidFill>
                    <w14:schemeClr w14:val="tx1"/>
                  </w14:solidFill>
                </w14:textFill>
              </w:rPr>
              <w:t>北侧，为侧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风向；</w:t>
            </w:r>
          </w:p>
          <w:p w14:paraId="7B3A1662">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废水处理措施方面，项目生产废水处理设施设置于生产车间西</w:t>
            </w:r>
            <w:r>
              <w:rPr>
                <w:rFonts w:hint="eastAsia" w:cs="Times New Roman"/>
                <w:color w:val="000000" w:themeColor="text1"/>
                <w:sz w:val="24"/>
                <w:szCs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侧，靠近</w:t>
            </w:r>
            <w:r>
              <w:rPr>
                <w:rFonts w:hint="eastAsia" w:cs="Times New Roman"/>
                <w:color w:val="000000" w:themeColor="text1"/>
                <w:sz w:val="24"/>
                <w:szCs w:val="24"/>
                <w:highlight w:val="none"/>
                <w:lang w:val="en-US" w:eastAsia="zh-CN"/>
                <w14:textFill>
                  <w14:solidFill>
                    <w14:schemeClr w14:val="tx1"/>
                  </w14:solidFill>
                </w14:textFill>
              </w:rPr>
              <w:t>生产区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，方便就近收集回用</w:t>
            </w:r>
            <w:r>
              <w:rPr>
                <w:rFonts w:hint="eastAsia" w:cs="Times New Roman"/>
                <w:color w:val="000000" w:themeColor="text1"/>
                <w:sz w:val="24"/>
                <w:szCs w:val="24"/>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废水，可有效节省能耗；车辆冲洗废水</w:t>
            </w:r>
            <w:r>
              <w:rPr>
                <w:rFonts w:hint="eastAsia" w:cs="Times New Roman"/>
                <w:color w:val="000000" w:themeColor="text1"/>
                <w:sz w:val="24"/>
                <w:szCs w:val="24"/>
                <w:highlight w:val="none"/>
                <w:lang w:val="en-US" w:eastAsia="zh-CN"/>
                <w14:textFill>
                  <w14:solidFill>
                    <w14:schemeClr w14:val="tx1"/>
                  </w14:solidFill>
                </w14:textFill>
              </w:rPr>
              <w:t>三级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沉淀池设置于洗车台附近，方便收集；初期雨水收集池设置于</w:t>
            </w:r>
            <w:r>
              <w:rPr>
                <w:rFonts w:hint="eastAsia" w:cs="Times New Roman"/>
                <w:color w:val="000000" w:themeColor="text1"/>
                <w:sz w:val="24"/>
                <w:szCs w:val="24"/>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地势较低处，利用地势高差收集初期雨水；</w:t>
            </w:r>
            <w:r>
              <w:rPr>
                <w:rFonts w:hint="eastAsia" w:cs="Times New Roman"/>
                <w:color w:val="000000" w:themeColor="text1"/>
                <w:sz w:val="24"/>
                <w:szCs w:val="24"/>
                <w:highlight w:val="none"/>
                <w:lang w:val="en-US" w:eastAsia="zh-CN"/>
                <w14:textFill>
                  <w14:solidFill>
                    <w14:schemeClr w14:val="tx1"/>
                  </w14:solidFill>
                </w14:textFill>
              </w:rPr>
              <w:t>化粪池和隔油器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设置于生活办公区西侧，紧邻生活办公区，化粪池和</w:t>
            </w:r>
            <w:r>
              <w:rPr>
                <w:rFonts w:hint="eastAsia" w:cs="Times New Roman"/>
                <w:color w:val="000000" w:themeColor="text1"/>
                <w:sz w:val="24"/>
                <w:szCs w:val="24"/>
                <w:highlight w:val="none"/>
                <w:lang w:val="en-US" w:eastAsia="zh-CN"/>
                <w14:textFill>
                  <w14:solidFill>
                    <w14:schemeClr w14:val="tx1"/>
                  </w14:solidFill>
                </w14:textFill>
              </w:rPr>
              <w:t>隔油器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污水处理设施为地埋式设置，设置于生活区，方便生活污水的收集；</w:t>
            </w:r>
          </w:p>
          <w:p w14:paraId="578DFD9B">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噪声处理方面，将生产车间布置于</w:t>
            </w:r>
            <w:r>
              <w:rPr>
                <w:rFonts w:hint="eastAsia" w:cs="Times New Roman"/>
                <w:color w:val="000000" w:themeColor="text1"/>
                <w:sz w:val="24"/>
                <w:szCs w:val="24"/>
                <w:highlight w:val="none"/>
                <w:lang w:val="en-US" w:eastAsia="zh-CN"/>
                <w14:textFill>
                  <w14:solidFill>
                    <w14:schemeClr w14:val="tx1"/>
                  </w14:solidFill>
                </w14:textFill>
              </w:rPr>
              <w:t>南侧，原理周边住户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同时设置封闭厂房，优化生产区平面布置、选用低噪声设备、减震、建筑隔声、距离衰减等措施，厂界噪声值均可达标排放，且厂界周边50m范围内无声环境敏感目标，不会对周边环境造成影响。总体来说，环保设施布置较为合理。</w:t>
            </w:r>
          </w:p>
          <w:p w14:paraId="25CDAA76">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综上，从总体功能设置和环保设施布置方面进行分析，项目平面布置合理可行。</w:t>
            </w:r>
          </w:p>
          <w:p w14:paraId="31B0BBD0">
            <w:pPr>
              <w:spacing w:beforeLines="0" w:afterLines="0" w:line="360" w:lineRule="auto"/>
              <w:ind w:firstLine="480" w:firstLineChars="200"/>
              <w:jc w:val="left"/>
              <w:rPr>
                <w:rFonts w:hint="default" w:ascii="Times New Roman" w:hAnsi="Times New Roman" w:cs="Times New Roman"/>
                <w:b w:val="0"/>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厂区平面布置见附图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kern w:val="0"/>
                <w:sz w:val="24"/>
                <w:szCs w:val="24"/>
                <w:highlight w:val="none"/>
                <w:lang w:val="en-US" w:eastAsia="zh-CN"/>
                <w14:textFill>
                  <w14:solidFill>
                    <w14:schemeClr w14:val="tx1"/>
                  </w14:solidFill>
                </w14:textFill>
              </w:rPr>
              <w:t xml:space="preserve"> </w:t>
            </w:r>
          </w:p>
          <w:p w14:paraId="4F0020F5">
            <w:pPr>
              <w:keepNext w:val="0"/>
              <w:keepLines w:val="0"/>
              <w:pageBreakBefore w:val="0"/>
              <w:kinsoku/>
              <w:wordWrap/>
              <w:overflowPunct/>
              <w:autoSpaceDE w:val="0"/>
              <w:autoSpaceDN w:val="0"/>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r>
    </w:tbl>
    <w:p w14:paraId="7E0B87D8">
      <w:pPr>
        <w:keepNext w:val="0"/>
        <w:keepLines w:val="0"/>
        <w:pageBreakBefore w:val="0"/>
        <w:kinsoku/>
        <w:wordWrap/>
        <w:overflowPunct/>
        <w:bidi w:val="0"/>
        <w:adjustRightInd/>
        <w:snapToGrid/>
        <w:spacing w:beforeLines="0" w:beforeAutospacing="0" w:afterLines="0" w:afterAutospacing="0" w:line="360" w:lineRule="auto"/>
        <w:outlineLvl w:val="0"/>
        <w:rPr>
          <w:rFonts w:hint="default" w:ascii="Times New Roman" w:hAnsi="Times New Roman" w:eastAsia="宋体" w:cs="Times New Roman"/>
          <w:color w:val="000000" w:themeColor="text1"/>
          <w:sz w:val="30"/>
          <w:highlight w:val="none"/>
          <w14:textFill>
            <w14:solidFill>
              <w14:schemeClr w14:val="tx1"/>
            </w14:solidFill>
          </w14:textFill>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14:paraId="6183BAD2">
      <w:pPr>
        <w:pStyle w:val="30"/>
        <w:keepNext w:val="0"/>
        <w:keepLines w:val="0"/>
        <w:pageBreakBefore w:val="0"/>
        <w:kinsoku/>
        <w:wordWrap/>
        <w:overflowPunct/>
        <w:bidi w:val="0"/>
        <w:adjustRightInd/>
        <w:snapToGrid/>
        <w:spacing w:before="0" w:beforeLines="0" w:beforeAutospacing="0" w:after="0" w:afterLines="0" w:afterAutospacing="0"/>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bookmarkStart w:id="2" w:name="_Toc13201"/>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二、建设项目工程分析</w:t>
      </w:r>
      <w:bookmarkEnd w:id="2"/>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4"/>
      </w:tblGrid>
      <w:tr w14:paraId="4FEB8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40" w:type="pct"/>
            <w:noWrap w:val="0"/>
            <w:vAlign w:val="center"/>
          </w:tcPr>
          <w:p w14:paraId="34BA5A79">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建设内容</w:t>
            </w:r>
          </w:p>
        </w:tc>
        <w:tc>
          <w:tcPr>
            <w:tcW w:w="4759" w:type="pct"/>
            <w:noWrap w:val="0"/>
            <w:vAlign w:val="top"/>
          </w:tcPr>
          <w:p w14:paraId="1B73DDA9">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1、项目由来</w:t>
            </w:r>
          </w:p>
          <w:p w14:paraId="794E2C3A">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甘孜州圣洁康巴砼业有限责任公司商砼站建设项目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建设单位为甘孜州圣洁康巴砼业有限责任公司，项目投资</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1500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万元，位于四川省甘孜藏族自治州孜县，设有搅拌机、装载机、粉料储罐、传输带等。</w:t>
            </w:r>
          </w:p>
          <w:p w14:paraId="5B59DB1B">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中华人民共和国环境保护法》、《中华人民共和国环境影响评价法》以及国务院令第253号以及国务院令第682号《建设项目环境保护管理条例》的相关内容，依照建设项目环境影响评价制度，为了加强建设项目的环境保护管理，严格控制新的污染，保护和改善环境，建设项目必须进行环境影响评价。按照《建设项目环境影响评价分类管理名录》（2021年版）的规定，本项目属于“二十七、非金属矿物制品业30”中的“石膏、水泥制品及类似制品制造302”中的“商品混凝土”，应编制环境影响报告表。</w:t>
            </w:r>
          </w:p>
          <w:p w14:paraId="4B45FF0B">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此，甘孜州圣洁康巴砼业有限责任公司委托我单位承担该项目的环境影响评价工作，我单位接受委托后，进行了现场踏勘、资料收集工作，在对项项目建设进行了工程分析及相关环境要素分析后，编制了本环境影响报告表，待审批后作为开展项目建设环保设计及主管部门环境管理工作的依据。</w:t>
            </w:r>
          </w:p>
          <w:p w14:paraId="5B652E0D">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2、项目名称、性质及建设基本情况</w:t>
            </w:r>
          </w:p>
          <w:p w14:paraId="55E64F9C">
            <w:pPr>
              <w:snapToGrid/>
              <w:spacing w:beforeLines="0" w:afterLines="0" w:line="360" w:lineRule="auto"/>
              <w:ind w:left="0" w:leftChars="0" w:firstLine="480" w:firstLineChars="200"/>
              <w:jc w:val="both"/>
              <w:rPr>
                <w:rFonts w:hint="default" w:ascii="Times New Roman" w:hAnsi="Times New Roman" w:eastAsia="宋体" w:cs="Times New Roman"/>
                <w:bCs/>
                <w:color w:val="000000" w:themeColor="text1"/>
                <w:kern w:val="0"/>
                <w:sz w:val="24"/>
                <w:szCs w:val="24"/>
                <w:highlight w:val="none"/>
                <w:lang w:eastAsia="zh-CN"/>
                <w14:textFill>
                  <w14:solidFill>
                    <w14:schemeClr w14:val="tx1"/>
                  </w14:solidFill>
                </w14:textFill>
              </w:rPr>
            </w:pPr>
            <w:r>
              <w:rPr>
                <w:rFonts w:ascii="Times New Roman" w:hAnsi="Times New Roman" w:cs="Times New Roman"/>
                <w:bCs/>
                <w:color w:val="000000" w:themeColor="text1"/>
                <w:kern w:val="0"/>
                <w:sz w:val="24"/>
                <w:szCs w:val="24"/>
                <w:highlight w:val="none"/>
                <w14:textFill>
                  <w14:solidFill>
                    <w14:schemeClr w14:val="tx1"/>
                  </w14:solidFill>
                </w14:textFill>
              </w:rPr>
              <w:t>项目名称：</w:t>
            </w:r>
            <w:r>
              <w:rPr>
                <w:rFonts w:hint="default" w:ascii="Times New Roman" w:hAnsi="Times New Roman" w:cs="Times New Roman"/>
                <w:color w:val="000000" w:themeColor="text1"/>
                <w:sz w:val="24"/>
                <w:szCs w:val="24"/>
                <w:highlight w:val="none"/>
                <w:lang w:eastAsia="zh-CN"/>
                <w14:textFill>
                  <w14:solidFill>
                    <w14:schemeClr w14:val="tx1"/>
                  </w14:solidFill>
                </w14:textFill>
              </w:rPr>
              <w:t>甘孜州圣洁康巴砼业有限责任公司商砼站建设项目</w:t>
            </w:r>
          </w:p>
          <w:p w14:paraId="20D6898C">
            <w:pPr>
              <w:snapToGrid/>
              <w:spacing w:beforeLines="0" w:afterLines="0" w:line="360" w:lineRule="auto"/>
              <w:ind w:firstLine="480" w:firstLineChars="200"/>
              <w:jc w:val="both"/>
              <w:rPr>
                <w:rFonts w:ascii="Times New Roman" w:hAnsi="Times New Roman" w:cs="Times New Roman"/>
                <w:bCs/>
                <w:color w:val="000000" w:themeColor="text1"/>
                <w:kern w:val="0"/>
                <w:sz w:val="24"/>
                <w:szCs w:val="24"/>
                <w:highlight w:val="none"/>
                <w14:textFill>
                  <w14:solidFill>
                    <w14:schemeClr w14:val="tx1"/>
                  </w14:solidFill>
                </w14:textFill>
              </w:rPr>
            </w:pPr>
            <w:r>
              <w:rPr>
                <w:rFonts w:ascii="Times New Roman" w:hAnsi="Times New Roman" w:cs="Times New Roman"/>
                <w:bCs/>
                <w:color w:val="000000" w:themeColor="text1"/>
                <w:kern w:val="0"/>
                <w:sz w:val="24"/>
                <w:szCs w:val="24"/>
                <w:highlight w:val="none"/>
                <w14:textFill>
                  <w14:solidFill>
                    <w14:schemeClr w14:val="tx1"/>
                  </w14:solidFill>
                </w14:textFill>
              </w:rPr>
              <w:t>建设性质：新建</w:t>
            </w:r>
          </w:p>
          <w:p w14:paraId="1AB26726">
            <w:pPr>
              <w:snapToGrid/>
              <w:spacing w:beforeLines="0" w:afterLines="0" w:line="360" w:lineRule="auto"/>
              <w:ind w:firstLine="480" w:firstLineChars="200"/>
              <w:jc w:val="both"/>
              <w:rPr>
                <w:rFonts w:hint="default" w:ascii="Times New Roman" w:hAnsi="Times New Roman" w:eastAsia="宋体" w:cs="Times New Roman"/>
                <w:bCs/>
                <w:color w:val="000000" w:themeColor="text1"/>
                <w:kern w:val="0"/>
                <w:sz w:val="24"/>
                <w:szCs w:val="24"/>
                <w:highlight w:val="none"/>
                <w:lang w:eastAsia="zh-CN"/>
                <w14:textFill>
                  <w14:solidFill>
                    <w14:schemeClr w14:val="tx1"/>
                  </w14:solidFill>
                </w14:textFill>
              </w:rPr>
            </w:pPr>
            <w:r>
              <w:rPr>
                <w:rFonts w:ascii="Times New Roman" w:hAnsi="Times New Roman" w:cs="Times New Roman"/>
                <w:bCs/>
                <w:color w:val="000000" w:themeColor="text1"/>
                <w:kern w:val="0"/>
                <w:sz w:val="24"/>
                <w:szCs w:val="24"/>
                <w:highlight w:val="none"/>
                <w14:textFill>
                  <w14:solidFill>
                    <w14:schemeClr w14:val="tx1"/>
                  </w14:solidFill>
                </w14:textFill>
              </w:rPr>
              <w:t>建设地点：</w:t>
            </w:r>
            <w:r>
              <w:rPr>
                <w:rFonts w:hint="default" w:ascii="Times New Roman" w:hAnsi="Times New Roman" w:cs="Times New Roman"/>
                <w:color w:val="000000" w:themeColor="text1"/>
                <w:sz w:val="24"/>
                <w:szCs w:val="24"/>
                <w:highlight w:val="none"/>
                <w:lang w:eastAsia="zh-CN"/>
                <w14:textFill>
                  <w14:solidFill>
                    <w14:schemeClr w14:val="tx1"/>
                  </w14:solidFill>
                </w14:textFill>
              </w:rPr>
              <w:t>四川省甘孜藏族自治州甘孜镇斯俄村</w:t>
            </w:r>
          </w:p>
          <w:p w14:paraId="3160E7B1">
            <w:pPr>
              <w:snapToGrid/>
              <w:spacing w:beforeLines="0" w:afterLines="0" w:line="360" w:lineRule="auto"/>
              <w:ind w:firstLine="480" w:firstLineChars="200"/>
              <w:jc w:val="both"/>
              <w:rPr>
                <w:rFonts w:ascii="Times New Roman" w:hAnsi="Times New Roman" w:cs="Times New Roman"/>
                <w:bCs/>
                <w:color w:val="000000" w:themeColor="text1"/>
                <w:kern w:val="0"/>
                <w:sz w:val="24"/>
                <w:szCs w:val="24"/>
                <w:highlight w:val="none"/>
                <w14:textFill>
                  <w14:solidFill>
                    <w14:schemeClr w14:val="tx1"/>
                  </w14:solidFill>
                </w14:textFill>
              </w:rPr>
            </w:pPr>
            <w:r>
              <w:rPr>
                <w:rFonts w:ascii="Times New Roman" w:hAnsi="Times New Roman" w:cs="Times New Roman"/>
                <w:bCs/>
                <w:color w:val="000000" w:themeColor="text1"/>
                <w:kern w:val="0"/>
                <w:sz w:val="24"/>
                <w:szCs w:val="24"/>
                <w:highlight w:val="none"/>
                <w14:textFill>
                  <w14:solidFill>
                    <w14:schemeClr w14:val="tx1"/>
                  </w14:solidFill>
                </w14:textFill>
              </w:rPr>
              <w:t>建设内容：项目占地面积</w:t>
            </w:r>
            <w:r>
              <w:rPr>
                <w:rFonts w:hint="default" w:ascii="Times New Roman" w:hAnsi="Times New Roman" w:cs="Times New Roman"/>
                <w:bCs/>
                <w:color w:val="000000" w:themeColor="text1"/>
                <w:kern w:val="0"/>
                <w:sz w:val="24"/>
                <w:szCs w:val="24"/>
                <w:highlight w:val="none"/>
                <w:lang w:eastAsia="zh-CN"/>
                <w14:textFill>
                  <w14:solidFill>
                    <w14:schemeClr w14:val="tx1"/>
                  </w14:solidFill>
                </w14:textFill>
              </w:rPr>
              <w:t>8000</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bCs/>
                <w:color w:val="000000" w:themeColor="text1"/>
                <w:sz w:val="24"/>
                <w:szCs w:val="24"/>
                <w:highlight w:val="none"/>
                <w14:textFill>
                  <w14:solidFill>
                    <w14:schemeClr w14:val="tx1"/>
                  </w14:solidFill>
                </w14:textFill>
              </w:rPr>
              <w:t>，建设内容主要包括新建</w:t>
            </w:r>
            <w:r>
              <w:rPr>
                <w:rFonts w:hint="default" w:ascii="Times New Roman" w:hAnsi="Times New Roman" w:cs="Times New Roman"/>
                <w:bCs/>
                <w:color w:val="000000" w:themeColor="text1"/>
                <w:sz w:val="24"/>
                <w:szCs w:val="24"/>
                <w:highlight w:val="none"/>
                <w14:textFill>
                  <w14:solidFill>
                    <w14:schemeClr w14:val="tx1"/>
                  </w14:solidFill>
                </w14:textFill>
              </w:rPr>
              <w:t>主体工程</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搅拌生产线</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ascii="Times New Roman" w:hAnsi="Times New Roman" w:cs="Times New Roman"/>
                <w:bCs/>
                <w:color w:val="000000" w:themeColor="text1"/>
                <w:sz w:val="24"/>
                <w:szCs w:val="24"/>
                <w:highlight w:val="none"/>
                <w14:textFill>
                  <w14:solidFill>
                    <w14:schemeClr w14:val="tx1"/>
                  </w14:solidFill>
                </w14:textFill>
              </w:rPr>
              <w:t>原料储存区等辅助设施</w:t>
            </w:r>
            <w:r>
              <w:rPr>
                <w:rFonts w:ascii="Times New Roman" w:hAnsi="Times New Roman" w:cs="Times New Roman"/>
                <w:bCs/>
                <w:color w:val="000000" w:themeColor="text1"/>
                <w:kern w:val="0"/>
                <w:sz w:val="24"/>
                <w:szCs w:val="24"/>
                <w:highlight w:val="none"/>
                <w14:textFill>
                  <w14:solidFill>
                    <w14:schemeClr w14:val="tx1"/>
                  </w14:solidFill>
                </w14:textFill>
              </w:rPr>
              <w:t>。</w:t>
            </w:r>
          </w:p>
          <w:p w14:paraId="143CBBDE">
            <w:pPr>
              <w:spacing w:beforeLines="0" w:afterLines="0" w:line="360" w:lineRule="auto"/>
              <w:ind w:firstLine="480" w:firstLineChars="200"/>
              <w:jc w:val="both"/>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建设规模：年生产</w:t>
            </w:r>
            <w:r>
              <w:rPr>
                <w:rFonts w:hint="default" w:ascii="Times New Roman" w:hAnsi="Times New Roman" w:cs="Times New Roman"/>
                <w:color w:val="000000" w:themeColor="text1"/>
                <w:sz w:val="24"/>
                <w:szCs w:val="24"/>
                <w:highlight w:val="none"/>
                <w:lang w:eastAsia="zh-CN"/>
                <w14:textFill>
                  <w14:solidFill>
                    <w14:schemeClr w14:val="tx1"/>
                  </w14:solidFill>
                </w14:textFill>
              </w:rPr>
              <w:t>20万立方商品混凝土</w:t>
            </w:r>
            <w:r>
              <w:rPr>
                <w:rFonts w:hint="default" w:ascii="Times New Roman" w:hAnsi="Times New Roman" w:cs="Times New Roman"/>
                <w:color w:val="000000" w:themeColor="text1"/>
                <w:sz w:val="24"/>
                <w:szCs w:val="24"/>
                <w:highlight w:val="none"/>
                <w14:textFill>
                  <w14:solidFill>
                    <w14:schemeClr w14:val="tx1"/>
                  </w14:solidFill>
                </w14:textFill>
              </w:rPr>
              <w:t>；</w:t>
            </w:r>
          </w:p>
          <w:p w14:paraId="08CDF016">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2"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、建设内容及项目组成</w:t>
            </w:r>
          </w:p>
          <w:p w14:paraId="5DEDF58A">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甘孜州圣洁康巴砼业有限责任公司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四川省甘孜藏族自治州甘孜镇斯俄村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cs="Times New Roman"/>
                <w:color w:val="000000" w:themeColor="text1"/>
                <w:sz w:val="24"/>
                <w:szCs w:val="24"/>
                <w:highlight w:val="none"/>
                <w:lang w:eastAsia="zh-CN"/>
                <w14:textFill>
                  <w14:solidFill>
                    <w14:schemeClr w14:val="tx1"/>
                  </w14:solidFill>
                </w14:textFill>
              </w:rPr>
              <w:t>甘孜州圣洁康巴砼业有限责任公司商砼站建设项目</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，项目占地面积为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8000</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生产量为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20万立方米混凝土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，主要设备为搅拌机</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装载机</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地磅</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皮带输送机</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筒仓</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配料斗</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除尘器</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风机等。</w:t>
            </w:r>
          </w:p>
          <w:p w14:paraId="15E94DCA">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项目主要建设内容见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3E28A71">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p>
          <w:p w14:paraId="1F584E80">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表2-1 项目主要建设内容一览表</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622"/>
              <w:gridCol w:w="865"/>
              <w:gridCol w:w="4885"/>
              <w:gridCol w:w="716"/>
              <w:gridCol w:w="757"/>
            </w:tblGrid>
            <w:tr w14:paraId="0460A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67" w:hRule="atLeast"/>
                <w:jc w:val="center"/>
              </w:trPr>
              <w:tc>
                <w:tcPr>
                  <w:tcW w:w="397" w:type="pct"/>
                  <w:vMerge w:val="restart"/>
                  <w:tcBorders>
                    <w:tl2br w:val="nil"/>
                    <w:tr2bl w:val="nil"/>
                  </w:tcBorders>
                  <w:shd w:val="clear" w:color="auto" w:fill="auto"/>
                  <w:noWrap w:val="0"/>
                  <w:vAlign w:val="center"/>
                </w:tcPr>
                <w:p w14:paraId="2245084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组成</w:t>
                  </w:r>
                </w:p>
              </w:tc>
              <w:tc>
                <w:tcPr>
                  <w:tcW w:w="551" w:type="pct"/>
                  <w:vMerge w:val="restart"/>
                  <w:tcBorders>
                    <w:tl2br w:val="nil"/>
                    <w:tr2bl w:val="nil"/>
                  </w:tcBorders>
                  <w:shd w:val="clear" w:color="auto" w:fill="auto"/>
                  <w:noWrap w:val="0"/>
                  <w:vAlign w:val="center"/>
                </w:tcPr>
                <w:p w14:paraId="3E210EF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3112" w:type="pct"/>
                  <w:vMerge w:val="restart"/>
                  <w:tcBorders>
                    <w:tl2br w:val="nil"/>
                    <w:tr2bl w:val="nil"/>
                  </w:tcBorders>
                  <w:shd w:val="clear" w:color="auto" w:fill="auto"/>
                  <w:noWrap w:val="0"/>
                  <w:vAlign w:val="center"/>
                </w:tcPr>
                <w:p w14:paraId="28337E0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建设内容</w:t>
                  </w:r>
                </w:p>
              </w:tc>
              <w:tc>
                <w:tcPr>
                  <w:tcW w:w="938" w:type="pct"/>
                  <w:gridSpan w:val="2"/>
                  <w:tcBorders>
                    <w:tl2br w:val="nil"/>
                    <w:tr2bl w:val="nil"/>
                  </w:tcBorders>
                  <w:shd w:val="clear" w:color="auto" w:fill="auto"/>
                  <w:noWrap w:val="0"/>
                  <w:vAlign w:val="center"/>
                </w:tcPr>
                <w:p w14:paraId="684AEB9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主要环境问题</w:t>
                  </w:r>
                </w:p>
              </w:tc>
            </w:tr>
            <w:tr w14:paraId="37124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3350B41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551" w:type="pct"/>
                  <w:vMerge w:val="continue"/>
                  <w:tcBorders>
                    <w:tl2br w:val="nil"/>
                    <w:tr2bl w:val="nil"/>
                  </w:tcBorders>
                  <w:shd w:val="clear" w:color="auto" w:fill="auto"/>
                  <w:noWrap w:val="0"/>
                  <w:vAlign w:val="center"/>
                </w:tcPr>
                <w:p w14:paraId="6FBF814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3112" w:type="pct"/>
                  <w:vMerge w:val="continue"/>
                  <w:tcBorders>
                    <w:tl2br w:val="nil"/>
                    <w:tr2bl w:val="nil"/>
                  </w:tcBorders>
                  <w:shd w:val="clear" w:color="auto" w:fill="auto"/>
                  <w:noWrap w:val="0"/>
                  <w:vAlign w:val="center"/>
                </w:tcPr>
                <w:p w14:paraId="6EF5DC3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c>
                <w:tcPr>
                  <w:tcW w:w="456" w:type="pct"/>
                  <w:tcBorders>
                    <w:tl2br w:val="nil"/>
                    <w:tr2bl w:val="nil"/>
                  </w:tcBorders>
                  <w:shd w:val="clear" w:color="auto" w:fill="auto"/>
                  <w:noWrap w:val="0"/>
                  <w:vAlign w:val="center"/>
                </w:tcPr>
                <w:p w14:paraId="1EFC1664">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施工期</w:t>
                  </w:r>
                </w:p>
              </w:tc>
              <w:tc>
                <w:tcPr>
                  <w:tcW w:w="481" w:type="pct"/>
                  <w:tcBorders>
                    <w:tl2br w:val="nil"/>
                    <w:tr2bl w:val="nil"/>
                  </w:tcBorders>
                  <w:shd w:val="clear" w:color="auto" w:fill="auto"/>
                  <w:noWrap w:val="0"/>
                  <w:vAlign w:val="center"/>
                </w:tcPr>
                <w:p w14:paraId="1F79D8A4">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运营期</w:t>
                  </w:r>
                </w:p>
              </w:tc>
            </w:tr>
            <w:tr w14:paraId="6F13D9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tcBorders>
                    <w:tl2br w:val="nil"/>
                    <w:tr2bl w:val="nil"/>
                  </w:tcBorders>
                  <w:shd w:val="clear" w:color="auto" w:fill="auto"/>
                  <w:noWrap w:val="0"/>
                  <w:vAlign w:val="center"/>
                </w:tcPr>
                <w:p w14:paraId="648786F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主体工程</w:t>
                  </w:r>
                </w:p>
              </w:tc>
              <w:tc>
                <w:tcPr>
                  <w:tcW w:w="551" w:type="pct"/>
                  <w:tcBorders>
                    <w:tl2br w:val="nil"/>
                    <w:tr2bl w:val="nil"/>
                  </w:tcBorders>
                  <w:shd w:val="clear" w:color="auto" w:fill="auto"/>
                  <w:noWrap w:val="0"/>
                  <w:vAlign w:val="center"/>
                </w:tcPr>
                <w:p w14:paraId="3445FB2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车间</w:t>
                  </w:r>
                </w:p>
              </w:tc>
              <w:tc>
                <w:tcPr>
                  <w:tcW w:w="3112" w:type="pct"/>
                  <w:tcBorders>
                    <w:tl2br w:val="nil"/>
                    <w:tr2bl w:val="nil"/>
                  </w:tcBorders>
                  <w:shd w:val="clear" w:color="auto" w:fill="auto"/>
                  <w:noWrap w:val="0"/>
                  <w:vAlign w:val="center"/>
                </w:tcPr>
                <w:p w14:paraId="5EC568F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，占地面积</w:t>
                  </w:r>
                  <w:r>
                    <w:rPr>
                      <w:rFonts w:hint="eastAsia" w:cs="Times New Roman"/>
                      <w:color w:val="000000" w:themeColor="text1"/>
                      <w:sz w:val="21"/>
                      <w:szCs w:val="21"/>
                      <w:highlight w:val="none"/>
                      <w:lang w:val="en-US" w:eastAsia="zh-CN"/>
                      <w14:textFill>
                        <w14:solidFill>
                          <w14:schemeClr w14:val="tx1"/>
                        </w14:solidFill>
                      </w14:textFill>
                    </w:rPr>
                    <w:t>500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1层，轻钢结构，</w:t>
                  </w:r>
                  <w:r>
                    <w:rPr>
                      <w:rFonts w:hint="eastAsia" w:cs="Times New Roman"/>
                      <w:color w:val="000000" w:themeColor="text1"/>
                      <w:sz w:val="21"/>
                      <w:szCs w:val="21"/>
                      <w:highlight w:val="none"/>
                      <w:lang w:val="en-US" w:eastAsia="zh-CN"/>
                      <w14:textFill>
                        <w14:solidFill>
                          <w14:schemeClr w14:val="tx1"/>
                        </w14:solidFill>
                      </w14:textFill>
                    </w:rPr>
                    <w:t>设置密闭车间</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区域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内部设置搅拌楼、输送带、配料斗、粉料筒仓等设备</w:t>
                  </w:r>
                </w:p>
              </w:tc>
              <w:tc>
                <w:tcPr>
                  <w:tcW w:w="456" w:type="pct"/>
                  <w:vMerge w:val="restart"/>
                  <w:tcBorders>
                    <w:tl2br w:val="nil"/>
                    <w:tr2bl w:val="nil"/>
                  </w:tcBorders>
                  <w:shd w:val="clear" w:color="auto" w:fill="auto"/>
                  <w:noWrap w:val="0"/>
                  <w:vAlign w:val="center"/>
                </w:tcPr>
                <w:p w14:paraId="0B4AF283">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施工扬尘、</w:t>
                  </w:r>
                </w:p>
                <w:p w14:paraId="00458BD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废水、噪声、建筑废渣、生态破坏</w:t>
                  </w:r>
                </w:p>
              </w:tc>
              <w:tc>
                <w:tcPr>
                  <w:tcW w:w="481" w:type="pct"/>
                  <w:tcBorders>
                    <w:tl2br w:val="nil"/>
                    <w:tr2bl w:val="nil"/>
                  </w:tcBorders>
                  <w:shd w:val="clear" w:color="auto" w:fill="auto"/>
                  <w:noWrap w:val="0"/>
                  <w:vAlign w:val="center"/>
                </w:tcPr>
                <w:p w14:paraId="0EF02ED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噪声、废气、废水、固废</w:t>
                  </w:r>
                </w:p>
              </w:tc>
            </w:tr>
            <w:tr w14:paraId="17E541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restart"/>
                  <w:tcBorders>
                    <w:tl2br w:val="nil"/>
                    <w:tr2bl w:val="nil"/>
                  </w:tcBorders>
                  <w:shd w:val="clear" w:color="auto" w:fill="auto"/>
                  <w:noWrap w:val="0"/>
                  <w:vAlign w:val="center"/>
                </w:tcPr>
                <w:p w14:paraId="215C6C0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储运工程</w:t>
                  </w:r>
                </w:p>
              </w:tc>
              <w:tc>
                <w:tcPr>
                  <w:tcW w:w="551" w:type="pct"/>
                  <w:tcBorders>
                    <w:tl2br w:val="nil"/>
                    <w:tr2bl w:val="nil"/>
                  </w:tcBorders>
                  <w:shd w:val="clear" w:color="auto" w:fill="auto"/>
                  <w:noWrap w:val="0"/>
                  <w:vAlign w:val="center"/>
                </w:tcPr>
                <w:p w14:paraId="6FA1991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砂堆场</w:t>
                  </w:r>
                </w:p>
              </w:tc>
              <w:tc>
                <w:tcPr>
                  <w:tcW w:w="3112" w:type="pct"/>
                  <w:tcBorders>
                    <w:tl2br w:val="nil"/>
                    <w:tr2bl w:val="nil"/>
                  </w:tcBorders>
                  <w:shd w:val="clear" w:color="auto" w:fill="auto"/>
                  <w:noWrap w:val="0"/>
                  <w:vAlign w:val="center"/>
                </w:tcPr>
                <w:p w14:paraId="6F7EBAF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设置1处，占地面积</w:t>
                  </w:r>
                  <w:r>
                    <w:rPr>
                      <w:rFonts w:hint="eastAsia" w:cs="Times New Roman"/>
                      <w:color w:val="000000" w:themeColor="text1"/>
                      <w:sz w:val="21"/>
                      <w:szCs w:val="21"/>
                      <w:highlight w:val="none"/>
                      <w:lang w:val="en-US" w:eastAsia="zh-CN"/>
                      <w14:textFill>
                        <w14:solidFill>
                          <w14:schemeClr w14:val="tx1"/>
                        </w14:solidFill>
                      </w14:textFill>
                    </w:rPr>
                    <w:t>800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㎡，1层，轻钢结构，用于砂堆存</w:t>
                  </w:r>
                </w:p>
              </w:tc>
              <w:tc>
                <w:tcPr>
                  <w:tcW w:w="456" w:type="pct"/>
                  <w:vMerge w:val="continue"/>
                  <w:tcBorders>
                    <w:tl2br w:val="nil"/>
                    <w:tr2bl w:val="nil"/>
                  </w:tcBorders>
                  <w:shd w:val="clear" w:color="auto" w:fill="auto"/>
                  <w:noWrap w:val="0"/>
                  <w:vAlign w:val="center"/>
                </w:tcPr>
                <w:p w14:paraId="25C1838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33CE1B8C">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r>
            <w:tr w14:paraId="4432A3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2A5445B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040D14A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碎石堆场</w:t>
                  </w:r>
                </w:p>
              </w:tc>
              <w:tc>
                <w:tcPr>
                  <w:tcW w:w="3112" w:type="pct"/>
                  <w:tcBorders>
                    <w:tl2br w:val="nil"/>
                    <w:tr2bl w:val="nil"/>
                  </w:tcBorders>
                  <w:shd w:val="clear" w:color="auto" w:fill="auto"/>
                  <w:noWrap w:val="0"/>
                  <w:vAlign w:val="center"/>
                </w:tcPr>
                <w:p w14:paraId="017DB78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设置1处，占地面积</w:t>
                  </w:r>
                  <w:r>
                    <w:rPr>
                      <w:rFonts w:hint="eastAsia" w:cs="Times New Roman"/>
                      <w:color w:val="000000" w:themeColor="text1"/>
                      <w:sz w:val="21"/>
                      <w:szCs w:val="21"/>
                      <w:highlight w:val="none"/>
                      <w:lang w:val="en-US" w:eastAsia="zh-CN"/>
                      <w14:textFill>
                        <w14:solidFill>
                          <w14:schemeClr w14:val="tx1"/>
                        </w14:solidFill>
                      </w14:textFill>
                    </w:rPr>
                    <w:t>1300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，1层，轻钢结构，用于碎石堆存</w:t>
                  </w:r>
                </w:p>
              </w:tc>
              <w:tc>
                <w:tcPr>
                  <w:tcW w:w="456" w:type="pct"/>
                  <w:vMerge w:val="continue"/>
                  <w:tcBorders>
                    <w:tl2br w:val="nil"/>
                    <w:tr2bl w:val="nil"/>
                  </w:tcBorders>
                  <w:shd w:val="clear" w:color="auto" w:fill="auto"/>
                  <w:noWrap w:val="0"/>
                  <w:vAlign w:val="center"/>
                </w:tcPr>
                <w:p w14:paraId="22AB37B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728015A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r>
            <w:tr w14:paraId="21EB9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68898E5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4137523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外加剂储罐</w:t>
                  </w:r>
                </w:p>
              </w:tc>
              <w:tc>
                <w:tcPr>
                  <w:tcW w:w="3112" w:type="pct"/>
                  <w:tcBorders>
                    <w:tl2br w:val="nil"/>
                    <w:tr2bl w:val="nil"/>
                  </w:tcBorders>
                  <w:shd w:val="clear" w:color="auto" w:fill="auto"/>
                  <w:noWrap w:val="0"/>
                  <w:vAlign w:val="center"/>
                </w:tcPr>
                <w:p w14:paraId="4B10F3B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设置1个储罐，位于厂区南侧，用于储存外加剂</w:t>
                  </w:r>
                </w:p>
              </w:tc>
              <w:tc>
                <w:tcPr>
                  <w:tcW w:w="456" w:type="pct"/>
                  <w:vMerge w:val="continue"/>
                  <w:tcBorders>
                    <w:tl2br w:val="nil"/>
                    <w:tr2bl w:val="nil"/>
                  </w:tcBorders>
                  <w:shd w:val="clear" w:color="auto" w:fill="auto"/>
                  <w:noWrap w:val="0"/>
                  <w:vAlign w:val="center"/>
                </w:tcPr>
                <w:p w14:paraId="6A0C77C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44DBBF5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37276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244BF3F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7BA9705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生产用水储罐</w:t>
                  </w:r>
                </w:p>
              </w:tc>
              <w:tc>
                <w:tcPr>
                  <w:tcW w:w="3112" w:type="pct"/>
                  <w:tcBorders>
                    <w:tl2br w:val="nil"/>
                    <w:tr2bl w:val="nil"/>
                  </w:tcBorders>
                  <w:shd w:val="clear" w:color="auto" w:fill="auto"/>
                  <w:noWrap w:val="0"/>
                  <w:vAlign w:val="center"/>
                </w:tcPr>
                <w:p w14:paraId="066F15F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设置1个储罐，位于厂区南侧，用于储存生产用水</w:t>
                  </w:r>
                </w:p>
              </w:tc>
              <w:tc>
                <w:tcPr>
                  <w:tcW w:w="456" w:type="pct"/>
                  <w:vMerge w:val="continue"/>
                  <w:tcBorders>
                    <w:tl2br w:val="nil"/>
                    <w:tr2bl w:val="nil"/>
                  </w:tcBorders>
                  <w:shd w:val="clear" w:color="auto" w:fill="auto"/>
                  <w:noWrap w:val="0"/>
                  <w:vAlign w:val="center"/>
                </w:tcPr>
                <w:p w14:paraId="1208297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2A9C804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47829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6E7253F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4F4005F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水泥筒仓</w:t>
                  </w:r>
                </w:p>
              </w:tc>
              <w:tc>
                <w:tcPr>
                  <w:tcW w:w="3112" w:type="pct"/>
                  <w:tcBorders>
                    <w:tl2br w:val="nil"/>
                    <w:tr2bl w:val="nil"/>
                  </w:tcBorders>
                  <w:shd w:val="clear" w:color="auto" w:fill="auto"/>
                  <w:noWrap w:val="0"/>
                  <w:vAlign w:val="center"/>
                </w:tcPr>
                <w:p w14:paraId="51761D9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个筒仓</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单个容量150t</w:t>
                  </w:r>
                  <w:r>
                    <w:rPr>
                      <w:rFonts w:hint="default" w:ascii="Times New Roman" w:hAnsi="Times New Roman" w:eastAsia="宋体" w:cs="Times New Roman"/>
                      <w:color w:val="000000" w:themeColor="text1"/>
                      <w:sz w:val="21"/>
                      <w:szCs w:val="21"/>
                      <w:highlight w:val="none"/>
                      <w14:textFill>
                        <w14:solidFill>
                          <w14:schemeClr w14:val="tx1"/>
                        </w14:solidFill>
                      </w14:textFill>
                    </w:rPr>
                    <w:t>，位于厂区南侧，用于储存水泥原料</w:t>
                  </w:r>
                </w:p>
              </w:tc>
              <w:tc>
                <w:tcPr>
                  <w:tcW w:w="456" w:type="pct"/>
                  <w:vMerge w:val="continue"/>
                  <w:tcBorders>
                    <w:tl2br w:val="nil"/>
                    <w:tr2bl w:val="nil"/>
                  </w:tcBorders>
                  <w:shd w:val="clear" w:color="auto" w:fill="auto"/>
                  <w:noWrap w:val="0"/>
                  <w:vAlign w:val="center"/>
                </w:tcPr>
                <w:p w14:paraId="034A9A9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09B04CB4">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r>
            <w:tr w14:paraId="39A11D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00555DA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7C2776E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粉煤灰筒仓</w:t>
                  </w:r>
                </w:p>
              </w:tc>
              <w:tc>
                <w:tcPr>
                  <w:tcW w:w="3112" w:type="pct"/>
                  <w:tcBorders>
                    <w:tl2br w:val="nil"/>
                    <w:tr2bl w:val="nil"/>
                  </w:tcBorders>
                  <w:shd w:val="clear" w:color="auto" w:fill="auto"/>
                  <w:noWrap w:val="0"/>
                  <w:vAlign w:val="center"/>
                </w:tcPr>
                <w:p w14:paraId="26A5042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设置1个筒仓</w:t>
                  </w:r>
                  <w:r>
                    <w:rPr>
                      <w:rFonts w:hint="eastAsia" w:cs="Times New Roman"/>
                      <w:color w:val="000000" w:themeColor="text1"/>
                      <w:sz w:val="21"/>
                      <w:szCs w:val="21"/>
                      <w:highlight w:val="none"/>
                      <w:lang w:val="en-US" w:eastAsia="zh-CN"/>
                      <w14:textFill>
                        <w14:solidFill>
                          <w14:schemeClr w14:val="tx1"/>
                        </w14:solidFill>
                      </w14:textFill>
                    </w:rPr>
                    <w:t>，容量150t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，位于厂区南侧，用于储存粉煤灰原料</w:t>
                  </w:r>
                </w:p>
              </w:tc>
              <w:tc>
                <w:tcPr>
                  <w:tcW w:w="456" w:type="pct"/>
                  <w:vMerge w:val="continue"/>
                  <w:tcBorders>
                    <w:tl2br w:val="nil"/>
                    <w:tr2bl w:val="nil"/>
                  </w:tcBorders>
                  <w:shd w:val="clear" w:color="auto" w:fill="auto"/>
                  <w:noWrap w:val="0"/>
                  <w:vAlign w:val="center"/>
                </w:tcPr>
                <w:p w14:paraId="1C41884C">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1EDF4DC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r>
            <w:tr w14:paraId="7B9C23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4E54526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30E4EE9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一般固废间</w:t>
                  </w:r>
                </w:p>
              </w:tc>
              <w:tc>
                <w:tcPr>
                  <w:tcW w:w="3112" w:type="pct"/>
                  <w:tcBorders>
                    <w:tl2br w:val="nil"/>
                    <w:tr2bl w:val="nil"/>
                  </w:tcBorders>
                  <w:shd w:val="clear" w:color="auto" w:fill="auto"/>
                  <w:noWrap w:val="0"/>
                  <w:vAlign w:val="center"/>
                </w:tcPr>
                <w:p w14:paraId="4A677B0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设置1座，建筑面积为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0㎡，位于厂区</w:t>
                  </w:r>
                  <w:r>
                    <w:rPr>
                      <w:rFonts w:hint="eastAsia" w:cs="Times New Roman"/>
                      <w:color w:val="000000" w:themeColor="text1"/>
                      <w:sz w:val="21"/>
                      <w:szCs w:val="21"/>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highlight w:val="none"/>
                      <w14:textFill>
                        <w14:solidFill>
                          <w14:schemeClr w14:val="tx1"/>
                        </w14:solidFill>
                      </w14:textFill>
                    </w:rPr>
                    <w:t>侧，1层，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轻钢结构</w:t>
                  </w:r>
                  <w:r>
                    <w:rPr>
                      <w:rFonts w:hint="default" w:ascii="Times New Roman" w:hAnsi="Times New Roman" w:eastAsia="宋体" w:cs="Times New Roman"/>
                      <w:color w:val="000000" w:themeColor="text1"/>
                      <w:sz w:val="21"/>
                      <w:szCs w:val="21"/>
                      <w:highlight w:val="none"/>
                      <w14:textFill>
                        <w14:solidFill>
                          <w14:schemeClr w14:val="tx1"/>
                        </w14:solidFill>
                      </w14:textFill>
                    </w:rPr>
                    <w:t>，主要用于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w:t>
                  </w:r>
                  <w:r>
                    <w:rPr>
                      <w:rFonts w:hint="default" w:ascii="Times New Roman" w:hAnsi="Times New Roman" w:eastAsia="宋体" w:cs="Times New Roman"/>
                      <w:color w:val="000000" w:themeColor="text1"/>
                      <w:sz w:val="21"/>
                      <w:szCs w:val="21"/>
                      <w:highlight w:val="none"/>
                      <w14:textFill>
                        <w14:solidFill>
                          <w14:schemeClr w14:val="tx1"/>
                        </w14:solidFill>
                      </w14:textFill>
                    </w:rPr>
                    <w:t>固废暂存。</w:t>
                  </w:r>
                </w:p>
              </w:tc>
              <w:tc>
                <w:tcPr>
                  <w:tcW w:w="456" w:type="pct"/>
                  <w:vMerge w:val="continue"/>
                  <w:tcBorders>
                    <w:tl2br w:val="nil"/>
                    <w:tr2bl w:val="nil"/>
                  </w:tcBorders>
                  <w:shd w:val="clear" w:color="auto" w:fill="auto"/>
                  <w:noWrap w:val="0"/>
                  <w:vAlign w:val="center"/>
                </w:tcPr>
                <w:p w14:paraId="1AC5BC5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2B8BC0D4">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r>
            <w:tr w14:paraId="558F7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397" w:type="pct"/>
                  <w:vMerge w:val="continue"/>
                  <w:tcBorders>
                    <w:tl2br w:val="nil"/>
                    <w:tr2bl w:val="nil"/>
                  </w:tcBorders>
                  <w:shd w:val="clear" w:color="auto" w:fill="auto"/>
                  <w:noWrap w:val="0"/>
                  <w:vAlign w:val="center"/>
                </w:tcPr>
                <w:p w14:paraId="741335D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690AB7E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危废暂存间</w:t>
                  </w:r>
                </w:p>
              </w:tc>
              <w:tc>
                <w:tcPr>
                  <w:tcW w:w="3112" w:type="pct"/>
                  <w:tcBorders>
                    <w:tl2br w:val="nil"/>
                    <w:tr2bl w:val="nil"/>
                  </w:tcBorders>
                  <w:shd w:val="clear" w:color="auto" w:fill="auto"/>
                  <w:noWrap w:val="0"/>
                  <w:vAlign w:val="center"/>
                </w:tcPr>
                <w:p w14:paraId="7166CDA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设置1座，建筑面积为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0㎡，位于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厂区</w:t>
                  </w:r>
                  <w:r>
                    <w:rPr>
                      <w:rFonts w:hint="eastAsia" w:cs="Times New Roman"/>
                      <w:color w:val="000000" w:themeColor="text1"/>
                      <w:sz w:val="21"/>
                      <w:szCs w:val="21"/>
                      <w:highlight w:val="none"/>
                      <w:lang w:val="en-US" w:eastAsia="zh-CN"/>
                      <w14:textFill>
                        <w14:solidFill>
                          <w14:schemeClr w14:val="tx1"/>
                        </w14:solidFill>
                      </w14:textFill>
                    </w:rPr>
                    <w:t>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，1层，轻钢结构，主要用于危废固废暂存。</w:t>
                  </w:r>
                </w:p>
              </w:tc>
              <w:tc>
                <w:tcPr>
                  <w:tcW w:w="456" w:type="pct"/>
                  <w:vMerge w:val="continue"/>
                  <w:tcBorders>
                    <w:tl2br w:val="nil"/>
                    <w:tr2bl w:val="nil"/>
                  </w:tcBorders>
                  <w:shd w:val="clear" w:color="auto" w:fill="auto"/>
                  <w:noWrap w:val="0"/>
                  <w:vAlign w:val="center"/>
                </w:tcPr>
                <w:p w14:paraId="3F4E786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439FA7E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r>
            <w:tr w14:paraId="602287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71B8485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0AFFAFA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机油库房</w:t>
                  </w:r>
                </w:p>
              </w:tc>
              <w:tc>
                <w:tcPr>
                  <w:tcW w:w="3112" w:type="pct"/>
                  <w:tcBorders>
                    <w:tl2br w:val="nil"/>
                    <w:tr2bl w:val="nil"/>
                  </w:tcBorders>
                  <w:shd w:val="clear" w:color="auto" w:fill="auto"/>
                  <w:noWrap w:val="0"/>
                  <w:vAlign w:val="center"/>
                </w:tcPr>
                <w:p w14:paraId="06E80AB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设置1座，建筑面积为</w:t>
                  </w: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㎡，位于厂区</w:t>
                  </w:r>
                  <w:r>
                    <w:rPr>
                      <w:rFonts w:hint="eastAsia"/>
                      <w:color w:val="000000" w:themeColor="text1"/>
                      <w:sz w:val="21"/>
                      <w:szCs w:val="21"/>
                      <w:highlight w:val="none"/>
                      <w:lang w:val="en-US" w:eastAsia="zh-CN"/>
                      <w14:textFill>
                        <w14:solidFill>
                          <w14:schemeClr w14:val="tx1"/>
                        </w14:solidFill>
                      </w14:textFill>
                    </w:rPr>
                    <w:t>北</w:t>
                  </w:r>
                  <w:r>
                    <w:rPr>
                      <w:rFonts w:hint="eastAsia"/>
                      <w:color w:val="000000" w:themeColor="text1"/>
                      <w:sz w:val="21"/>
                      <w:szCs w:val="21"/>
                      <w:highlight w:val="none"/>
                      <w14:textFill>
                        <w14:solidFill>
                          <w14:schemeClr w14:val="tx1"/>
                        </w14:solidFill>
                      </w14:textFill>
                    </w:rPr>
                    <w:t>侧，1层，轻钢结构，主要用于</w:t>
                  </w:r>
                  <w:r>
                    <w:rPr>
                      <w:rFonts w:hint="eastAsia"/>
                      <w:color w:val="000000" w:themeColor="text1"/>
                      <w:sz w:val="21"/>
                      <w:szCs w:val="21"/>
                      <w:highlight w:val="none"/>
                      <w:lang w:val="en-US" w:eastAsia="zh-CN"/>
                      <w14:textFill>
                        <w14:solidFill>
                          <w14:schemeClr w14:val="tx1"/>
                        </w14:solidFill>
                      </w14:textFill>
                    </w:rPr>
                    <w:t>暂存机油</w:t>
                  </w:r>
                  <w:r>
                    <w:rPr>
                      <w:rFonts w:hint="eastAsia"/>
                      <w:color w:val="000000" w:themeColor="text1"/>
                      <w:sz w:val="21"/>
                      <w:szCs w:val="21"/>
                      <w:highlight w:val="none"/>
                      <w14:textFill>
                        <w14:solidFill>
                          <w14:schemeClr w14:val="tx1"/>
                        </w14:solidFill>
                      </w14:textFill>
                    </w:rPr>
                    <w:t>。</w:t>
                  </w:r>
                </w:p>
              </w:tc>
              <w:tc>
                <w:tcPr>
                  <w:tcW w:w="456" w:type="pct"/>
                  <w:vMerge w:val="continue"/>
                  <w:tcBorders>
                    <w:tl2br w:val="nil"/>
                    <w:tr2bl w:val="nil"/>
                  </w:tcBorders>
                  <w:shd w:val="clear" w:color="auto" w:fill="auto"/>
                  <w:noWrap w:val="0"/>
                  <w:vAlign w:val="center"/>
                </w:tcPr>
                <w:p w14:paraId="3B9996D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5889378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r>
            <w:tr w14:paraId="1BBDA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3ABB944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51" w:type="pct"/>
                  <w:tcBorders>
                    <w:tl2br w:val="nil"/>
                    <w:tr2bl w:val="nil"/>
                  </w:tcBorders>
                  <w:shd w:val="clear" w:color="auto" w:fill="auto"/>
                  <w:noWrap w:val="0"/>
                  <w:vAlign w:val="center"/>
                </w:tcPr>
                <w:p w14:paraId="74E4DB0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闲置区域</w:t>
                  </w:r>
                </w:p>
              </w:tc>
              <w:tc>
                <w:tcPr>
                  <w:tcW w:w="3112" w:type="pct"/>
                  <w:tcBorders>
                    <w:tl2br w:val="nil"/>
                    <w:tr2bl w:val="nil"/>
                  </w:tcBorders>
                  <w:shd w:val="clear" w:color="auto" w:fill="auto"/>
                  <w:noWrap w:val="0"/>
                  <w:vAlign w:val="center"/>
                </w:tcPr>
                <w:p w14:paraId="03CC334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厂区设置2处闲置区域，占地面积分别为700m</w:t>
                  </w:r>
                  <w:r>
                    <w:rPr>
                      <w:rFonts w:hint="eastAsia"/>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，,900m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456" w:type="pct"/>
                  <w:vMerge w:val="continue"/>
                  <w:tcBorders>
                    <w:tl2br w:val="nil"/>
                    <w:tr2bl w:val="nil"/>
                  </w:tcBorders>
                  <w:shd w:val="clear" w:color="auto" w:fill="auto"/>
                  <w:noWrap w:val="0"/>
                  <w:vAlign w:val="center"/>
                </w:tcPr>
                <w:p w14:paraId="0965018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51238B7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4D530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3" w:hRule="atLeast"/>
                <w:jc w:val="center"/>
              </w:trPr>
              <w:tc>
                <w:tcPr>
                  <w:tcW w:w="397" w:type="pct"/>
                  <w:vMerge w:val="restart"/>
                  <w:tcBorders>
                    <w:tl2br w:val="nil"/>
                    <w:tr2bl w:val="nil"/>
                  </w:tcBorders>
                  <w:shd w:val="clear" w:color="auto" w:fill="auto"/>
                  <w:noWrap w:val="0"/>
                  <w:vAlign w:val="center"/>
                </w:tcPr>
                <w:p w14:paraId="787E05C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辅助工程</w:t>
                  </w:r>
                </w:p>
              </w:tc>
              <w:tc>
                <w:tcPr>
                  <w:tcW w:w="551" w:type="pct"/>
                  <w:tcBorders>
                    <w:tl2br w:val="nil"/>
                    <w:tr2bl w:val="nil"/>
                  </w:tcBorders>
                  <w:shd w:val="clear" w:color="auto" w:fill="auto"/>
                  <w:noWrap w:val="0"/>
                  <w:vAlign w:val="center"/>
                </w:tcPr>
                <w:p w14:paraId="126A9CD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办公房</w:t>
                  </w:r>
                </w:p>
              </w:tc>
              <w:tc>
                <w:tcPr>
                  <w:tcW w:w="3112" w:type="pct"/>
                  <w:tcBorders>
                    <w:tl2br w:val="nil"/>
                    <w:tr2bl w:val="nil"/>
                  </w:tcBorders>
                  <w:shd w:val="clear" w:color="auto" w:fill="auto"/>
                  <w:noWrap w:val="0"/>
                  <w:vAlign w:val="center"/>
                </w:tcPr>
                <w:p w14:paraId="6137F8E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座，</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highlight w:val="none"/>
                      <w14:textFill>
                        <w14:solidFill>
                          <w14:schemeClr w14:val="tx1"/>
                        </w14:solidFill>
                      </w14:textFill>
                    </w:rPr>
                    <w:t>m²，</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层，轻钢结构，位于厂区</w:t>
                  </w:r>
                  <w:r>
                    <w:rPr>
                      <w:rFonts w:hint="eastAsia" w:cs="Times New Roman"/>
                      <w:color w:val="000000" w:themeColor="text1"/>
                      <w:sz w:val="21"/>
                      <w:szCs w:val="21"/>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highlight w:val="none"/>
                      <w14:textFill>
                        <w14:solidFill>
                          <w14:schemeClr w14:val="tx1"/>
                        </w14:solidFill>
                      </w14:textFill>
                    </w:rPr>
                    <w:t>侧，主要用于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职工办公及临时休息</w:t>
                  </w:r>
                </w:p>
              </w:tc>
              <w:tc>
                <w:tcPr>
                  <w:tcW w:w="456" w:type="pct"/>
                  <w:vMerge w:val="continue"/>
                  <w:tcBorders>
                    <w:tl2br w:val="nil"/>
                    <w:tr2bl w:val="nil"/>
                  </w:tcBorders>
                  <w:shd w:val="clear" w:color="auto" w:fill="auto"/>
                  <w:noWrap w:val="0"/>
                  <w:vAlign w:val="center"/>
                </w:tcPr>
                <w:p w14:paraId="4FF1022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68FBF5C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噪声、废气、废水、固废</w:t>
                  </w:r>
                </w:p>
              </w:tc>
            </w:tr>
            <w:tr w14:paraId="52295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077A952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078B172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洗车区</w:t>
                  </w:r>
                </w:p>
              </w:tc>
              <w:tc>
                <w:tcPr>
                  <w:tcW w:w="3112" w:type="pct"/>
                  <w:tcBorders>
                    <w:tl2br w:val="nil"/>
                    <w:tr2bl w:val="nil"/>
                  </w:tcBorders>
                  <w:shd w:val="clear" w:color="auto" w:fill="auto"/>
                  <w:noWrap w:val="0"/>
                  <w:vAlign w:val="center"/>
                </w:tcPr>
                <w:p w14:paraId="71686C3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个区域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占地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m²，位于厂区</w:t>
                  </w:r>
                  <w:r>
                    <w:rPr>
                      <w:rFonts w:hint="eastAsia" w:cs="Times New Roman"/>
                      <w:color w:val="000000" w:themeColor="text1"/>
                      <w:sz w:val="21"/>
                      <w:szCs w:val="21"/>
                      <w:highlight w:val="none"/>
                      <w:lang w:val="en-US" w:eastAsia="zh-CN"/>
                      <w14:textFill>
                        <w14:solidFill>
                          <w14:schemeClr w14:val="tx1"/>
                        </w14:solidFill>
                      </w14:textFill>
                    </w:rPr>
                    <w:t>西</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侧，主要用于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车辆进出场洗车</w:t>
                  </w:r>
                </w:p>
              </w:tc>
              <w:tc>
                <w:tcPr>
                  <w:tcW w:w="456" w:type="pct"/>
                  <w:vMerge w:val="continue"/>
                  <w:tcBorders>
                    <w:tl2br w:val="nil"/>
                    <w:tr2bl w:val="nil"/>
                  </w:tcBorders>
                  <w:shd w:val="clear" w:color="auto" w:fill="auto"/>
                  <w:noWrap w:val="0"/>
                  <w:vAlign w:val="center"/>
                </w:tcPr>
                <w:p w14:paraId="28E34EF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68CD07D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废水、固废</w:t>
                  </w:r>
                </w:p>
              </w:tc>
            </w:tr>
            <w:tr w14:paraId="43920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restart"/>
                  <w:tcBorders>
                    <w:tl2br w:val="nil"/>
                    <w:tr2bl w:val="nil"/>
                  </w:tcBorders>
                  <w:shd w:val="clear" w:color="auto" w:fill="auto"/>
                  <w:noWrap w:val="0"/>
                  <w:vAlign w:val="center"/>
                </w:tcPr>
                <w:p w14:paraId="0597EFD3">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公用</w:t>
                  </w:r>
                </w:p>
                <w:p w14:paraId="3426DF2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工程</w:t>
                  </w:r>
                </w:p>
              </w:tc>
              <w:tc>
                <w:tcPr>
                  <w:tcW w:w="551" w:type="pct"/>
                  <w:tcBorders>
                    <w:tl2br w:val="nil"/>
                    <w:tr2bl w:val="nil"/>
                  </w:tcBorders>
                  <w:shd w:val="clear" w:color="auto" w:fill="auto"/>
                  <w:noWrap w:val="0"/>
                  <w:vAlign w:val="center"/>
                </w:tcPr>
                <w:p w14:paraId="6E6FF3B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供水</w:t>
                  </w:r>
                </w:p>
              </w:tc>
              <w:tc>
                <w:tcPr>
                  <w:tcW w:w="3112" w:type="pct"/>
                  <w:tcBorders>
                    <w:tl2br w:val="nil"/>
                    <w:tr2bl w:val="nil"/>
                  </w:tcBorders>
                  <w:shd w:val="clear" w:color="auto" w:fill="auto"/>
                  <w:noWrap w:val="0"/>
                  <w:vAlign w:val="center"/>
                </w:tcPr>
                <w:p w14:paraId="392AD129">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由</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当地</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供水系统供给</w:t>
                  </w:r>
                </w:p>
              </w:tc>
              <w:tc>
                <w:tcPr>
                  <w:tcW w:w="456" w:type="pct"/>
                  <w:vMerge w:val="continue"/>
                  <w:tcBorders>
                    <w:tl2br w:val="nil"/>
                    <w:tr2bl w:val="nil"/>
                  </w:tcBorders>
                  <w:shd w:val="clear" w:color="auto" w:fill="auto"/>
                  <w:noWrap w:val="0"/>
                  <w:vAlign w:val="center"/>
                </w:tcPr>
                <w:p w14:paraId="302126E1">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7C006FDA">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w:t>
                  </w:r>
                </w:p>
              </w:tc>
            </w:tr>
            <w:tr w14:paraId="5DE50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42FD286C">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1EFC513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供电</w:t>
                  </w:r>
                </w:p>
              </w:tc>
              <w:tc>
                <w:tcPr>
                  <w:tcW w:w="3112" w:type="pct"/>
                  <w:tcBorders>
                    <w:tl2br w:val="nil"/>
                    <w:tr2bl w:val="nil"/>
                  </w:tcBorders>
                  <w:shd w:val="clear" w:color="auto" w:fill="auto"/>
                  <w:noWrap w:val="0"/>
                  <w:vAlign w:val="center"/>
                </w:tcPr>
                <w:p w14:paraId="717DB43F">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年用电量约</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万kW·h，由当地</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供电系统</w:t>
                  </w:r>
                  <w:r>
                    <w:rPr>
                      <w:rFonts w:hint="default" w:ascii="Times New Roman" w:hAnsi="Times New Roman" w:eastAsia="宋体" w:cs="Times New Roman"/>
                      <w:bCs/>
                      <w:color w:val="000000" w:themeColor="text1"/>
                      <w:sz w:val="21"/>
                      <w:szCs w:val="21"/>
                      <w:highlight w:val="none"/>
                      <w14:textFill>
                        <w14:solidFill>
                          <w14:schemeClr w14:val="tx1"/>
                        </w14:solidFill>
                      </w14:textFill>
                    </w:rPr>
                    <w:t>供给</w:t>
                  </w:r>
                </w:p>
              </w:tc>
              <w:tc>
                <w:tcPr>
                  <w:tcW w:w="456" w:type="pct"/>
                  <w:vMerge w:val="continue"/>
                  <w:tcBorders>
                    <w:tl2br w:val="nil"/>
                    <w:tr2bl w:val="nil"/>
                  </w:tcBorders>
                  <w:shd w:val="clear" w:color="auto" w:fill="auto"/>
                  <w:noWrap w:val="0"/>
                  <w:vAlign w:val="center"/>
                </w:tcPr>
                <w:p w14:paraId="094F6CB7">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3413CFE7">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20326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74" w:hRule="atLeast"/>
                <w:jc w:val="center"/>
              </w:trPr>
              <w:tc>
                <w:tcPr>
                  <w:tcW w:w="397" w:type="pct"/>
                  <w:vMerge w:val="continue"/>
                  <w:tcBorders>
                    <w:tl2br w:val="nil"/>
                    <w:tr2bl w:val="nil"/>
                  </w:tcBorders>
                  <w:shd w:val="clear" w:color="auto" w:fill="auto"/>
                  <w:noWrap w:val="0"/>
                  <w:vAlign w:val="center"/>
                </w:tcPr>
                <w:p w14:paraId="7D69EB54">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0646092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供热</w:t>
                  </w:r>
                </w:p>
              </w:tc>
              <w:tc>
                <w:tcPr>
                  <w:tcW w:w="3112" w:type="pct"/>
                  <w:tcBorders>
                    <w:tl2br w:val="nil"/>
                    <w:tr2bl w:val="nil"/>
                  </w:tcBorders>
                  <w:shd w:val="clear" w:color="auto" w:fill="auto"/>
                  <w:noWrap w:val="0"/>
                  <w:vAlign w:val="center"/>
                </w:tcPr>
                <w:p w14:paraId="1523F5C8">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项目生产不供热，办公供热采用电</w:t>
                  </w:r>
                </w:p>
              </w:tc>
              <w:tc>
                <w:tcPr>
                  <w:tcW w:w="456" w:type="pct"/>
                  <w:vMerge w:val="continue"/>
                  <w:tcBorders>
                    <w:tl2br w:val="nil"/>
                    <w:tr2bl w:val="nil"/>
                  </w:tcBorders>
                  <w:shd w:val="clear" w:color="auto" w:fill="auto"/>
                  <w:noWrap w:val="0"/>
                  <w:vAlign w:val="center"/>
                </w:tcPr>
                <w:p w14:paraId="0ABC614A">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481" w:type="pct"/>
                  <w:tcBorders>
                    <w:tl2br w:val="nil"/>
                    <w:tr2bl w:val="nil"/>
                  </w:tcBorders>
                  <w:shd w:val="clear" w:color="auto" w:fill="auto"/>
                  <w:noWrap w:val="0"/>
                  <w:vAlign w:val="center"/>
                </w:tcPr>
                <w:p w14:paraId="7D479D1D">
                  <w:pPr>
                    <w:keepNext w:val="0"/>
                    <w:keepLines w:val="0"/>
                    <w:pageBreakBefore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5708E0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restart"/>
                  <w:tcBorders>
                    <w:tl2br w:val="nil"/>
                    <w:tr2bl w:val="nil"/>
                  </w:tcBorders>
                  <w:shd w:val="clear" w:color="auto" w:fill="auto"/>
                  <w:noWrap w:val="0"/>
                  <w:vAlign w:val="center"/>
                </w:tcPr>
                <w:p w14:paraId="46C24A8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环保</w:t>
                  </w:r>
                </w:p>
                <w:p w14:paraId="09D8BAD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工程</w:t>
                  </w:r>
                </w:p>
              </w:tc>
              <w:tc>
                <w:tcPr>
                  <w:tcW w:w="551" w:type="pct"/>
                  <w:tcBorders>
                    <w:tl2br w:val="nil"/>
                    <w:tr2bl w:val="nil"/>
                  </w:tcBorders>
                  <w:shd w:val="clear" w:color="auto" w:fill="auto"/>
                  <w:noWrap w:val="0"/>
                  <w:vAlign w:val="center"/>
                </w:tcPr>
                <w:p w14:paraId="00806C5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3112" w:type="pct"/>
                  <w:tcBorders>
                    <w:tl2br w:val="nil"/>
                    <w:tr2bl w:val="nil"/>
                  </w:tcBorders>
                  <w:shd w:val="clear" w:color="auto" w:fill="auto"/>
                  <w:noWrap w:val="0"/>
                  <w:vAlign w:val="center"/>
                </w:tcPr>
                <w:p w14:paraId="192994B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搅拌</w:t>
                  </w:r>
                  <w:r>
                    <w:rPr>
                      <w:rFonts w:hint="default" w:ascii="Times New Roman" w:hAnsi="Times New Roman" w:eastAsia="宋体" w:cs="Times New Roman"/>
                      <w:color w:val="000000" w:themeColor="text1"/>
                      <w:sz w:val="21"/>
                      <w:szCs w:val="21"/>
                      <w:highlight w:val="none"/>
                      <w14:textFill>
                        <w14:solidFill>
                          <w14:schemeClr w14:val="tx1"/>
                        </w14:solidFill>
                      </w14:textFill>
                    </w:rPr>
                    <w:t>工序粉尘集气装置+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脉冲袋式除尘器</w:t>
                  </w:r>
                  <w:r>
                    <w:rPr>
                      <w:rFonts w:hint="default" w:ascii="Times New Roman" w:hAnsi="Times New Roman" w:eastAsia="宋体" w:cs="Times New Roman"/>
                      <w:color w:val="000000" w:themeColor="text1"/>
                      <w:sz w:val="21"/>
                      <w:szCs w:val="21"/>
                      <w:highlight w:val="none"/>
                      <w14:textFill>
                        <w14:solidFill>
                          <w14:schemeClr w14:val="tx1"/>
                        </w14:solidFill>
                      </w14:textFill>
                    </w:rPr>
                    <w:t>装置+15m高排气筒排放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；上料粉尘喷雾降尘处理后无组织排放；筒仓仓顶呼吸孔粉尘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脉冲袋式除尘器处理后有组织排放；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原料堆场粉尘喷雾降尘</w:t>
                  </w:r>
                  <w:r>
                    <w:rPr>
                      <w:rFonts w:hint="eastAsia" w:cs="Times New Roman"/>
                      <w:color w:val="000000" w:themeColor="text1"/>
                      <w:sz w:val="21"/>
                      <w:szCs w:val="21"/>
                      <w:highlight w:val="none"/>
                      <w:lang w:val="en-US" w:eastAsia="zh-CN"/>
                      <w14:textFill>
                        <w14:solidFill>
                          <w14:schemeClr w14:val="tx1"/>
                        </w14:solidFill>
                      </w14:textFill>
                    </w:rPr>
                    <w:t>车间密闭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处理后无组织排放；运输扬尘洒水抑尘。</w:t>
                  </w:r>
                </w:p>
                <w:p w14:paraId="7B8D21A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汽车运输尾气场地地势开阔，经扩散后对区域大气环境基本无影响</w:t>
                  </w:r>
                </w:p>
                <w:p w14:paraId="0B359C0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食堂油烟采用60%清除效率的静电油烟净化器处置后，引至楼顶达标排放</w:t>
                  </w:r>
                </w:p>
              </w:tc>
              <w:tc>
                <w:tcPr>
                  <w:tcW w:w="456" w:type="pct"/>
                  <w:vMerge w:val="continue"/>
                  <w:tcBorders>
                    <w:tl2br w:val="nil"/>
                    <w:tr2bl w:val="nil"/>
                  </w:tcBorders>
                  <w:shd w:val="clear" w:color="auto" w:fill="auto"/>
                  <w:noWrap w:val="0"/>
                  <w:vAlign w:val="center"/>
                </w:tcPr>
                <w:p w14:paraId="6643365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81" w:type="pct"/>
                  <w:tcBorders>
                    <w:tl2br w:val="nil"/>
                    <w:tr2bl w:val="nil"/>
                  </w:tcBorders>
                  <w:shd w:val="clear" w:color="auto" w:fill="auto"/>
                  <w:noWrap w:val="0"/>
                  <w:vAlign w:val="center"/>
                </w:tcPr>
                <w:p w14:paraId="7A3998E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废气、固废</w:t>
                  </w:r>
                </w:p>
              </w:tc>
            </w:tr>
            <w:tr w14:paraId="2269D1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27" w:hRule="atLeast"/>
                <w:jc w:val="center"/>
              </w:trPr>
              <w:tc>
                <w:tcPr>
                  <w:tcW w:w="397" w:type="pct"/>
                  <w:vMerge w:val="continue"/>
                  <w:tcBorders>
                    <w:tl2br w:val="nil"/>
                    <w:tr2bl w:val="nil"/>
                  </w:tcBorders>
                  <w:shd w:val="clear" w:color="auto" w:fill="auto"/>
                  <w:noWrap w:val="0"/>
                  <w:vAlign w:val="center"/>
                </w:tcPr>
                <w:p w14:paraId="565DA0E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4171163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废水</w:t>
                  </w:r>
                </w:p>
              </w:tc>
              <w:tc>
                <w:tcPr>
                  <w:tcW w:w="3112" w:type="pct"/>
                  <w:tcBorders>
                    <w:tl2br w:val="nil"/>
                    <w:tr2bl w:val="nil"/>
                  </w:tcBorders>
                  <w:shd w:val="clear" w:color="auto" w:fill="auto"/>
                  <w:noWrap w:val="0"/>
                  <w:vAlign w:val="center"/>
                </w:tcPr>
                <w:p w14:paraId="3FE6A97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生活污水、食堂废水、辆清洗废水、运输车辆轮胎冲洗废水、搅拌设备清洗废水、地面冲洗废水、喷雾废水、洒水废水。食堂废水经过隔油器隔油处理后，同生活污水一同经过</w:t>
                  </w:r>
                  <w:r>
                    <w:rPr>
                      <w:rFonts w:hint="eastAsia" w:cs="Times New Roman"/>
                      <w:bCs/>
                      <w:color w:val="000000" w:themeColor="text1"/>
                      <w:sz w:val="21"/>
                      <w:szCs w:val="21"/>
                      <w:highlight w:val="none"/>
                      <w:lang w:eastAsia="zh-CN"/>
                      <w14:textFill>
                        <w14:solidFill>
                          <w14:schemeClr w14:val="tx1"/>
                        </w14:solidFill>
                      </w14:textFill>
                    </w:rPr>
                    <w:t>预处理池</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处理后进入甘孜县县城污水处理厂；车辆清洗废水、运输车辆轮胎冲洗废水、搅拌设备清洗废水、地面冲洗废水厂内三级沉淀池</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50m³</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处理后回用；喷雾废水、洒水废水蒸发消耗</w:t>
                  </w:r>
                </w:p>
                <w:p w14:paraId="121BC1E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初期雨水经初期雨水池（20m³）沉淀处理后，回用厂区洒水抑尘</w:t>
                  </w:r>
                </w:p>
              </w:tc>
              <w:tc>
                <w:tcPr>
                  <w:tcW w:w="456" w:type="pct"/>
                  <w:vMerge w:val="continue"/>
                  <w:tcBorders>
                    <w:tl2br w:val="nil"/>
                    <w:tr2bl w:val="nil"/>
                  </w:tcBorders>
                  <w:shd w:val="clear" w:color="auto" w:fill="auto"/>
                  <w:noWrap w:val="0"/>
                  <w:vAlign w:val="center"/>
                </w:tcPr>
                <w:p w14:paraId="573CFB9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81" w:type="pct"/>
                  <w:tcBorders>
                    <w:tl2br w:val="nil"/>
                    <w:tr2bl w:val="nil"/>
                  </w:tcBorders>
                  <w:shd w:val="clear" w:color="auto" w:fill="auto"/>
                  <w:noWrap w:val="0"/>
                  <w:vAlign w:val="center"/>
                </w:tcPr>
                <w:p w14:paraId="1FFF1F6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废水、固废</w:t>
                  </w:r>
                </w:p>
              </w:tc>
            </w:tr>
            <w:tr w14:paraId="543B66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33FC8E3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4DC8E8E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噪声</w:t>
                  </w:r>
                </w:p>
              </w:tc>
              <w:tc>
                <w:tcPr>
                  <w:tcW w:w="3112" w:type="pct"/>
                  <w:tcBorders>
                    <w:tl2br w:val="nil"/>
                    <w:tr2bl w:val="nil"/>
                  </w:tcBorders>
                  <w:shd w:val="clear" w:color="auto" w:fill="auto"/>
                  <w:noWrap w:val="0"/>
                  <w:vAlign w:val="center"/>
                </w:tcPr>
                <w:p w14:paraId="350425A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厂房隔声、基础减振、距离衰减</w:t>
                  </w:r>
                </w:p>
              </w:tc>
              <w:tc>
                <w:tcPr>
                  <w:tcW w:w="456" w:type="pct"/>
                  <w:vMerge w:val="continue"/>
                  <w:tcBorders>
                    <w:tl2br w:val="nil"/>
                    <w:tr2bl w:val="nil"/>
                  </w:tcBorders>
                  <w:shd w:val="clear" w:color="auto" w:fill="auto"/>
                  <w:noWrap w:val="0"/>
                  <w:vAlign w:val="center"/>
                </w:tcPr>
                <w:p w14:paraId="24B1A14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1" w:type="pct"/>
                  <w:tcBorders>
                    <w:tl2br w:val="nil"/>
                    <w:tr2bl w:val="nil"/>
                  </w:tcBorders>
                  <w:shd w:val="clear" w:color="auto" w:fill="auto"/>
                  <w:noWrap w:val="0"/>
                  <w:vAlign w:val="center"/>
                </w:tcPr>
                <w:p w14:paraId="5117312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r>
            <w:tr w14:paraId="428C2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21190BD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61D3072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固废</w:t>
                  </w:r>
                </w:p>
              </w:tc>
              <w:tc>
                <w:tcPr>
                  <w:tcW w:w="3112" w:type="pct"/>
                  <w:tcBorders>
                    <w:tl2br w:val="nil"/>
                    <w:tr2bl w:val="nil"/>
                  </w:tcBorders>
                  <w:shd w:val="clear" w:color="auto" w:fill="auto"/>
                  <w:noWrap w:val="0"/>
                  <w:vAlign w:val="center"/>
                </w:tcPr>
                <w:p w14:paraId="53C164F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项目在营运期的生产固废主要为沉淀池污泥、除尘器除尘灰、混凝土废料、废机油、废机油桶、废含油棉纱及手套、生活垃圾。</w:t>
                  </w:r>
                </w:p>
                <w:p w14:paraId="5E5A93E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生活垃圾由环卫部门统一清运处理。除尘器除尘灰收集后，作为原料回到生产线，回用于生产。沉淀池污泥</w:t>
                  </w:r>
                  <w:r>
                    <w:rPr>
                      <w:rFonts w:hint="eastAsia" w:cs="Times New Roman"/>
                      <w:bCs/>
                      <w:color w:val="000000" w:themeColor="text1"/>
                      <w:sz w:val="21"/>
                      <w:szCs w:val="21"/>
                      <w:highlight w:val="none"/>
                      <w:lang w:eastAsia="zh-CN"/>
                      <w14:textFill>
                        <w14:solidFill>
                          <w14:schemeClr w14:val="tx1"/>
                        </w14:solidFill>
                      </w14:textFill>
                    </w:rPr>
                    <w:t>，混凝土废料</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外售建材厂综合利用</w:t>
                  </w:r>
                  <w:r>
                    <w:rPr>
                      <w:rFonts w:hint="eastAsia" w:cs="Times New Roman"/>
                      <w:bCs/>
                      <w:color w:val="000000" w:themeColor="text1"/>
                      <w:sz w:val="21"/>
                      <w:szCs w:val="21"/>
                      <w:highlight w:val="none"/>
                      <w:lang w:eastAsia="zh-CN"/>
                      <w14:textFill>
                        <w14:solidFill>
                          <w14:schemeClr w14:val="tx1"/>
                        </w14:solidFill>
                      </w14:textFill>
                    </w:rPr>
                    <w:t>。</w:t>
                  </w:r>
                </w:p>
                <w:p w14:paraId="620CB51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20" w:firstLineChars="200"/>
                    <w:jc w:val="both"/>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废机油、废机油桶、废含油棉纱及手套，暂存于危废间，定期交由相应资质单位处置。</w:t>
                  </w:r>
                </w:p>
              </w:tc>
              <w:tc>
                <w:tcPr>
                  <w:tcW w:w="456" w:type="pct"/>
                  <w:vMerge w:val="continue"/>
                  <w:tcBorders>
                    <w:tl2br w:val="nil"/>
                    <w:tr2bl w:val="nil"/>
                  </w:tcBorders>
                  <w:shd w:val="clear" w:color="auto" w:fill="auto"/>
                  <w:noWrap w:val="0"/>
                  <w:vAlign w:val="center"/>
                </w:tcPr>
                <w:p w14:paraId="6419918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81" w:type="pct"/>
                  <w:tcBorders>
                    <w:tl2br w:val="nil"/>
                    <w:tr2bl w:val="nil"/>
                  </w:tcBorders>
                  <w:shd w:val="clear" w:color="auto" w:fill="auto"/>
                  <w:noWrap w:val="0"/>
                  <w:vAlign w:val="center"/>
                </w:tcPr>
                <w:p w14:paraId="7ED5705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固废</w:t>
                  </w:r>
                </w:p>
              </w:tc>
            </w:tr>
            <w:tr w14:paraId="3F67A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7" w:type="pct"/>
                  <w:vMerge w:val="continue"/>
                  <w:tcBorders>
                    <w:tl2br w:val="nil"/>
                    <w:tr2bl w:val="nil"/>
                  </w:tcBorders>
                  <w:shd w:val="clear" w:color="auto" w:fill="auto"/>
                  <w:noWrap w:val="0"/>
                  <w:vAlign w:val="center"/>
                </w:tcPr>
                <w:p w14:paraId="265C973C">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51" w:type="pct"/>
                  <w:tcBorders>
                    <w:tl2br w:val="nil"/>
                    <w:tr2bl w:val="nil"/>
                  </w:tcBorders>
                  <w:shd w:val="clear" w:color="auto" w:fill="auto"/>
                  <w:noWrap w:val="0"/>
                  <w:vAlign w:val="center"/>
                </w:tcPr>
                <w:p w14:paraId="740F41B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地下水</w:t>
                  </w:r>
                </w:p>
              </w:tc>
              <w:tc>
                <w:tcPr>
                  <w:tcW w:w="3112" w:type="pct"/>
                  <w:tcBorders>
                    <w:tl2br w:val="nil"/>
                    <w:tr2bl w:val="nil"/>
                  </w:tcBorders>
                  <w:shd w:val="clear" w:color="auto" w:fill="auto"/>
                  <w:noWrap w:val="0"/>
                  <w:vAlign w:val="center"/>
                </w:tcPr>
                <w:p w14:paraId="563F843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12" w:firstLineChars="200"/>
                    <w:jc w:val="both"/>
                    <w:textAlignment w:val="baseline"/>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重点防渗区：危废暂存间</w:t>
                  </w:r>
                  <w:r>
                    <w:rPr>
                      <w:rFonts w:hint="eastAsia" w:cs="Times New Roman"/>
                      <w:color w:val="000000" w:themeColor="text1"/>
                      <w:spacing w:val="-2"/>
                      <w:sz w:val="21"/>
                      <w:szCs w:val="21"/>
                      <w:highlight w:val="none"/>
                      <w:lang w:eastAsia="zh-CN"/>
                      <w14:textFill>
                        <w14:solidFill>
                          <w14:schemeClr w14:val="tx1"/>
                        </w14:solidFill>
                      </w14:textFill>
                    </w:rPr>
                    <w:t>、机油库房</w:t>
                  </w:r>
                  <w:r>
                    <w:rPr>
                      <w:rFonts w:hint="default" w:ascii="Times New Roman" w:hAnsi="Times New Roman" w:cs="Times New Roman"/>
                      <w:color w:val="000000" w:themeColor="text1"/>
                      <w:kern w:val="21"/>
                      <w:sz w:val="21"/>
                      <w:szCs w:val="21"/>
                      <w:highlight w:val="none"/>
                      <w14:textFill>
                        <w14:solidFill>
                          <w14:schemeClr w14:val="tx1"/>
                        </w14:solidFill>
                      </w14:textFill>
                    </w:rPr>
                    <w:t>采用坚固、防渗、耐腐蚀的钢筋混凝土材料铺设，防渗层采用2mm厚的HDPE防渗材料</w:t>
                  </w:r>
                  <w:r>
                    <w:rPr>
                      <w:rFonts w:hint="default" w:ascii="Times New Roman" w:hAnsi="Times New Roman"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1"/>
                      <w:sz w:val="21"/>
                      <w:szCs w:val="21"/>
                      <w:highlight w:val="none"/>
                      <w14:textFill>
                        <w14:solidFill>
                          <w14:schemeClr w14:val="tx1"/>
                        </w14:solidFill>
                      </w14:textFill>
                    </w:rPr>
                    <w:t>等效黏土防渗层Mb≥6.0m，K≤1.0×10</w:t>
                  </w:r>
                  <w:r>
                    <w:rPr>
                      <w:rFonts w:hint="default" w:ascii="Times New Roman" w:hAnsi="Times New Roman" w:cs="Times New Roman"/>
                      <w:color w:val="000000" w:themeColor="text1"/>
                      <w:kern w:val="21"/>
                      <w:sz w:val="21"/>
                      <w:szCs w:val="21"/>
                      <w:highlight w:val="none"/>
                      <w:vertAlign w:val="superscript"/>
                      <w14:textFill>
                        <w14:solidFill>
                          <w14:schemeClr w14:val="tx1"/>
                        </w14:solidFill>
                      </w14:textFill>
                    </w:rPr>
                    <w:t>-</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kern w:val="21"/>
                      <w:sz w:val="21"/>
                      <w:szCs w:val="21"/>
                      <w:highlight w:val="none"/>
                      <w14:textFill>
                        <w14:solidFill>
                          <w14:schemeClr w14:val="tx1"/>
                        </w14:solidFill>
                      </w14:textFill>
                    </w:rPr>
                    <w:t>cm/s。</w:t>
                  </w:r>
                </w:p>
                <w:p w14:paraId="4F915F6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12" w:firstLineChars="200"/>
                    <w:jc w:val="both"/>
                    <w:textAlignment w:val="baseline"/>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一般防渗区</w:t>
                  </w:r>
                  <w:r>
                    <w:rPr>
                      <w:rFonts w:hint="eastAsia" w:ascii="Times New Roman" w:hAnsi="Times New Roman" w:eastAsia="宋体" w:cs="Times New Roman"/>
                      <w:color w:val="000000" w:themeColor="text1"/>
                      <w:spacing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碎石堆场、砂堆场、洗车区、三级沉淀池、初期雨水池、一般固废间</w:t>
                  </w: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防渗混凝土，</w:t>
                  </w:r>
                  <w:r>
                    <w:rPr>
                      <w:rFonts w:hint="default" w:ascii="Times New Roman" w:hAnsi="Times New Roman" w:cs="Times New Roman"/>
                      <w:color w:val="000000" w:themeColor="text1"/>
                      <w:kern w:val="21"/>
                      <w:sz w:val="21"/>
                      <w:szCs w:val="21"/>
                      <w:highlight w:val="none"/>
                      <w14:textFill>
                        <w14:solidFill>
                          <w14:schemeClr w14:val="tx1"/>
                        </w14:solidFill>
                      </w14:textFill>
                    </w:rPr>
                    <w:t>等效黏土防渗层Mb≧1.5m，渗透系数≤10</w:t>
                  </w:r>
                  <w:r>
                    <w:rPr>
                      <w:rFonts w:hint="default" w:ascii="Times New Roman" w:hAnsi="Times New Roman" w:cs="Times New Roman"/>
                      <w:color w:val="000000" w:themeColor="text1"/>
                      <w:kern w:val="2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kern w:val="21"/>
                      <w:sz w:val="21"/>
                      <w:szCs w:val="21"/>
                      <w:highlight w:val="none"/>
                      <w14:textFill>
                        <w14:solidFill>
                          <w14:schemeClr w14:val="tx1"/>
                        </w14:solidFill>
                      </w14:textFill>
                    </w:rPr>
                    <w:t>cm/s</w:t>
                  </w:r>
                </w:p>
                <w:p w14:paraId="6597C6CD">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412" w:firstLineChars="200"/>
                    <w:jc w:val="both"/>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简单防渗区</w:t>
                  </w:r>
                  <w:r>
                    <w:rPr>
                      <w:rFonts w:hint="eastAsia" w:ascii="Times New Roman" w:hAnsi="Times New Roman" w:eastAsia="宋体" w:cs="Times New Roman"/>
                      <w:color w:val="000000" w:themeColor="text1"/>
                      <w:spacing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办公，道路等区域混凝土硬化处理</w:t>
                  </w:r>
                </w:p>
              </w:tc>
              <w:tc>
                <w:tcPr>
                  <w:tcW w:w="456" w:type="pct"/>
                  <w:vMerge w:val="continue"/>
                  <w:tcBorders>
                    <w:tl2br w:val="nil"/>
                    <w:tr2bl w:val="nil"/>
                  </w:tcBorders>
                  <w:shd w:val="clear" w:color="auto" w:fill="auto"/>
                  <w:noWrap w:val="0"/>
                  <w:vAlign w:val="center"/>
                </w:tcPr>
                <w:p w14:paraId="4334DC0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81" w:type="pct"/>
                  <w:tcBorders>
                    <w:tl2br w:val="nil"/>
                    <w:tr2bl w:val="nil"/>
                  </w:tcBorders>
                  <w:shd w:val="clear" w:color="auto" w:fill="auto"/>
                  <w:noWrap w:val="0"/>
                  <w:vAlign w:val="center"/>
                </w:tcPr>
                <w:p w14:paraId="4E965C9B">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bl>
          <w:p w14:paraId="69489C79">
            <w:pPr>
              <w:pStyle w:val="5"/>
              <w:keepNext w:val="0"/>
              <w:keepLines w:val="0"/>
              <w:pageBreakBefore w:val="0"/>
              <w:kinsoku/>
              <w:wordWrap/>
              <w:overflowPunct/>
              <w:bidi w:val="0"/>
              <w:adjustRightInd/>
              <w:snapToGrid/>
              <w:spacing w:beforeLines="0" w:beforeAutospacing="0" w:afterLines="0" w:afterAutospacing="0" w:line="360" w:lineRule="auto"/>
              <w:ind w:left="0" w:leftChars="0"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主要产品及产能</w:t>
            </w:r>
          </w:p>
          <w:p w14:paraId="7BF0682C">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表2-2  项目产品方案一览表</w:t>
            </w:r>
          </w:p>
          <w:tbl>
            <w:tblPr>
              <w:tblStyle w:val="3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0"/>
              <w:gridCol w:w="2051"/>
              <w:gridCol w:w="4782"/>
            </w:tblGrid>
            <w:tr w14:paraId="1D777A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pct"/>
                  <w:tcBorders>
                    <w:tl2br w:val="nil"/>
                    <w:tr2bl w:val="nil"/>
                  </w:tcBorders>
                  <w:shd w:val="clear" w:color="auto" w:fill="auto"/>
                  <w:noWrap w:val="0"/>
                  <w:vAlign w:val="center"/>
                </w:tcPr>
                <w:p w14:paraId="6D2A7463">
                  <w:pPr>
                    <w:pStyle w:val="91"/>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1307" w:type="pct"/>
                  <w:tcBorders>
                    <w:tl2br w:val="nil"/>
                    <w:tr2bl w:val="nil"/>
                  </w:tcBorders>
                  <w:shd w:val="clear" w:color="auto" w:fill="auto"/>
                  <w:noWrap w:val="0"/>
                  <w:vAlign w:val="center"/>
                </w:tcPr>
                <w:p w14:paraId="484B24D7">
                  <w:pPr>
                    <w:pStyle w:val="91"/>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0"/>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生产能</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力</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3048" w:type="pct"/>
                  <w:tcBorders>
                    <w:tl2br w:val="nil"/>
                    <w:tr2bl w:val="nil"/>
                  </w:tcBorders>
                  <w:shd w:val="clear" w:color="auto" w:fill="auto"/>
                  <w:noWrap w:val="0"/>
                  <w:vAlign w:val="center"/>
                </w:tcPr>
                <w:p w14:paraId="7E6B81DD">
                  <w:pPr>
                    <w:pStyle w:val="91"/>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0"/>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备注</w:t>
                  </w:r>
                </w:p>
              </w:tc>
            </w:tr>
            <w:tr w14:paraId="6F0E4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pct"/>
                  <w:tcBorders>
                    <w:tl2br w:val="nil"/>
                    <w:tr2bl w:val="nil"/>
                  </w:tcBorders>
                  <w:shd w:val="clear" w:color="auto" w:fill="auto"/>
                  <w:noWrap w:val="0"/>
                  <w:vAlign w:val="center"/>
                </w:tcPr>
                <w:p w14:paraId="61A4E515">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商品混凝土</w:t>
                  </w:r>
                </w:p>
              </w:tc>
              <w:tc>
                <w:tcPr>
                  <w:tcW w:w="1307" w:type="pct"/>
                  <w:tcBorders>
                    <w:tl2br w:val="nil"/>
                    <w:tr2bl w:val="nil"/>
                  </w:tcBorders>
                  <w:shd w:val="clear" w:color="auto" w:fill="auto"/>
                  <w:noWrap w:val="0"/>
                  <w:vAlign w:val="center"/>
                </w:tcPr>
                <w:p w14:paraId="1940556D">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20万立方米（折合48万吨）</w:t>
                  </w:r>
                </w:p>
              </w:tc>
              <w:tc>
                <w:tcPr>
                  <w:tcW w:w="3048" w:type="pct"/>
                  <w:tcBorders>
                    <w:tl2br w:val="nil"/>
                    <w:tr2bl w:val="nil"/>
                  </w:tcBorders>
                  <w:shd w:val="clear" w:color="auto" w:fill="auto"/>
                  <w:noWrap w:val="0"/>
                  <w:vAlign w:val="center"/>
                </w:tcPr>
                <w:p w14:paraId="095ED31A">
                  <w:pPr>
                    <w:pStyle w:val="91"/>
                    <w:keepNext w:val="0"/>
                    <w:keepLines w:val="0"/>
                    <w:pageBreakBefore w:val="0"/>
                    <w:widowControl w:val="0"/>
                    <w:kinsoku/>
                    <w:wordWrap/>
                    <w:overflowPunct/>
                    <w:topLinePunct w:val="0"/>
                    <w:autoSpaceDE/>
                    <w:autoSpaceDN/>
                    <w:bidi w:val="0"/>
                    <w:adjustRightInd/>
                    <w:snapToGrid/>
                    <w:spacing w:before="157" w:beforeLines="50" w:afterLines="0" w:line="360" w:lineRule="auto"/>
                    <w:ind w:firstLine="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通过下料口将混凝土放至混凝土罐车里面，生产出来就运走至现场各工点。平均密度约为2.4t/m³；</w:t>
                  </w:r>
                </w:p>
              </w:tc>
            </w:tr>
          </w:tbl>
          <w:p w14:paraId="169FDBDE">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根据《预拌混凝土》（GB/T14902-2012）对预拌混凝土的质量要求如下</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p>
          <w:p w14:paraId="48D1D506">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（1）强度</w:t>
            </w:r>
          </w:p>
          <w:p w14:paraId="05569B31">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混凝土强度应满足设计要求，检验评定应符合 GB/T50107-2010 的规定。</w:t>
            </w:r>
          </w:p>
          <w:p w14:paraId="50E8DCF7">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（2）坍落度和坍落度经时损失</w:t>
            </w:r>
          </w:p>
          <w:p w14:paraId="54C10AF2">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混凝土坍落度实测值与控制目标值的允许偏差应符合下表的规定。常规 的泵送混凝土坍落度控制目标值不宜大于 180mm，并应满足施工要求，坍落 度经时损失不宜大于 30mm/h；特制品混凝土坍落度应满足相关标准规定和施 工要求。</w:t>
            </w:r>
          </w:p>
          <w:p w14:paraId="56F94F45">
            <w:pPr>
              <w:keepNext w:val="0"/>
              <w:keepLines w:val="0"/>
              <w:pageBreakBefore w:val="0"/>
              <w:widowControl w:val="0"/>
              <w:numPr>
                <w:ilvl w:val="0"/>
                <w:numId w:val="0"/>
              </w:numPr>
              <w:kinsoku/>
              <w:wordWrap/>
              <w:overflowPunct/>
              <w:bidi w:val="0"/>
              <w:adjustRightInd/>
              <w:snapToGrid/>
              <w:spacing w:beforeLines="0" w:beforeAutospacing="0" w:afterLines="0" w:afterAutospacing="0" w:line="480" w:lineRule="atLeast"/>
              <w:ind w:left="0" w:leftChars="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 2-</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混凝土拌合轫稠庋允许偏差  单位：mm</w:t>
            </w:r>
          </w:p>
          <w:tbl>
            <w:tblPr>
              <w:tblStyle w:val="89"/>
              <w:tblW w:w="7778"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2595"/>
              <w:gridCol w:w="2589"/>
              <w:gridCol w:w="2594"/>
            </w:tblGrid>
            <w:tr w14:paraId="7D2CFBE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7" w:hRule="atLeast"/>
                <w:jc w:val="center"/>
              </w:trPr>
              <w:tc>
                <w:tcPr>
                  <w:tcW w:w="1668" w:type="pct"/>
                  <w:tcBorders>
                    <w:tl2br w:val="nil"/>
                    <w:tr2bl w:val="nil"/>
                  </w:tcBorders>
                  <w:shd w:val="clear" w:color="auto" w:fill="auto"/>
                  <w:vAlign w:val="center"/>
                </w:tcPr>
                <w:p w14:paraId="4C04E03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2"/>
                      <w:sz w:val="21"/>
                      <w:szCs w:val="21"/>
                      <w:highlight w:val="none"/>
                      <w14:textFill>
                        <w14:solidFill>
                          <w14:schemeClr w14:val="tx1"/>
                        </w14:solidFill>
                      </w14:textFill>
                    </w:rPr>
                    <w:t>项目</w:t>
                  </w:r>
                </w:p>
              </w:tc>
              <w:tc>
                <w:tcPr>
                  <w:tcW w:w="1664" w:type="pct"/>
                  <w:tcBorders>
                    <w:tl2br w:val="nil"/>
                    <w:tr2bl w:val="nil"/>
                  </w:tcBorders>
                  <w:shd w:val="clear" w:color="auto" w:fill="auto"/>
                  <w:vAlign w:val="center"/>
                </w:tcPr>
                <w:p w14:paraId="02293CB8">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控制目标值</w:t>
                  </w:r>
                </w:p>
              </w:tc>
              <w:tc>
                <w:tcPr>
                  <w:tcW w:w="1667" w:type="pct"/>
                  <w:tcBorders>
                    <w:tl2br w:val="nil"/>
                    <w:tr2bl w:val="nil"/>
                  </w:tcBorders>
                  <w:shd w:val="clear" w:color="auto" w:fill="auto"/>
                  <w:vAlign w:val="center"/>
                </w:tcPr>
                <w:p w14:paraId="1C8C1344">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4"/>
                      <w:sz w:val="21"/>
                      <w:szCs w:val="21"/>
                      <w:highlight w:val="none"/>
                      <w14:textFill>
                        <w14:solidFill>
                          <w14:schemeClr w14:val="tx1"/>
                        </w14:solidFill>
                      </w14:textFill>
                    </w:rPr>
                    <w:t>允许偏差</w:t>
                  </w:r>
                </w:p>
              </w:tc>
            </w:tr>
            <w:tr w14:paraId="0563A52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2" w:hRule="atLeast"/>
                <w:jc w:val="center"/>
              </w:trPr>
              <w:tc>
                <w:tcPr>
                  <w:tcW w:w="1668" w:type="pct"/>
                  <w:vMerge w:val="restart"/>
                  <w:tcBorders>
                    <w:tl2br w:val="nil"/>
                    <w:tr2bl w:val="nil"/>
                  </w:tcBorders>
                  <w:shd w:val="clear" w:color="auto" w:fill="auto"/>
                  <w:vAlign w:val="center"/>
                </w:tcPr>
                <w:p w14:paraId="5D68EF35">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坍落度</w:t>
                  </w:r>
                </w:p>
              </w:tc>
              <w:tc>
                <w:tcPr>
                  <w:tcW w:w="1664" w:type="pct"/>
                  <w:tcBorders>
                    <w:tl2br w:val="nil"/>
                    <w:tr2bl w:val="nil"/>
                  </w:tcBorders>
                  <w:shd w:val="clear" w:color="auto" w:fill="auto"/>
                  <w:vAlign w:val="center"/>
                </w:tcPr>
                <w:p w14:paraId="67E7D33E">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≤40</w:t>
                  </w:r>
                </w:p>
              </w:tc>
              <w:tc>
                <w:tcPr>
                  <w:tcW w:w="1667" w:type="pct"/>
                  <w:tcBorders>
                    <w:tl2br w:val="nil"/>
                    <w:tr2bl w:val="nil"/>
                  </w:tcBorders>
                  <w:shd w:val="clear" w:color="auto" w:fill="auto"/>
                  <w:vAlign w:val="center"/>
                </w:tcPr>
                <w:p w14:paraId="51126BC7">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±10</w:t>
                  </w:r>
                </w:p>
              </w:tc>
            </w:tr>
            <w:tr w14:paraId="28C82B1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668" w:type="pct"/>
                  <w:vMerge w:val="continue"/>
                  <w:tcBorders>
                    <w:tl2br w:val="nil"/>
                    <w:tr2bl w:val="nil"/>
                  </w:tcBorders>
                  <w:shd w:val="clear" w:color="auto" w:fill="auto"/>
                  <w:vAlign w:val="center"/>
                </w:tcPr>
                <w:p w14:paraId="79B6E99B">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1664" w:type="pct"/>
                  <w:tcBorders>
                    <w:tl2br w:val="nil"/>
                    <w:tr2bl w:val="nil"/>
                  </w:tcBorders>
                  <w:shd w:val="clear" w:color="auto" w:fill="auto"/>
                  <w:vAlign w:val="center"/>
                </w:tcPr>
                <w:p w14:paraId="29014111">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50~90</w:t>
                  </w:r>
                </w:p>
              </w:tc>
              <w:tc>
                <w:tcPr>
                  <w:tcW w:w="1667" w:type="pct"/>
                  <w:tcBorders>
                    <w:tl2br w:val="nil"/>
                    <w:tr2bl w:val="nil"/>
                  </w:tcBorders>
                  <w:shd w:val="clear" w:color="auto" w:fill="auto"/>
                  <w:vAlign w:val="center"/>
                </w:tcPr>
                <w:p w14:paraId="37E82844">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±20</w:t>
                  </w:r>
                </w:p>
              </w:tc>
            </w:tr>
            <w:tr w14:paraId="5DAA9FF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668" w:type="pct"/>
                  <w:vMerge w:val="continue"/>
                  <w:tcBorders>
                    <w:tl2br w:val="nil"/>
                    <w:tr2bl w:val="nil"/>
                  </w:tcBorders>
                  <w:shd w:val="clear" w:color="auto" w:fill="auto"/>
                  <w:vAlign w:val="center"/>
                </w:tcPr>
                <w:p w14:paraId="4CE274EA">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1664" w:type="pct"/>
                  <w:tcBorders>
                    <w:tl2br w:val="nil"/>
                    <w:tr2bl w:val="nil"/>
                  </w:tcBorders>
                  <w:shd w:val="clear" w:color="auto" w:fill="auto"/>
                  <w:vAlign w:val="center"/>
                </w:tcPr>
                <w:p w14:paraId="523D82D8">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≥100</w:t>
                  </w:r>
                </w:p>
              </w:tc>
              <w:tc>
                <w:tcPr>
                  <w:tcW w:w="1667" w:type="pct"/>
                  <w:tcBorders>
                    <w:tl2br w:val="nil"/>
                    <w:tr2bl w:val="nil"/>
                  </w:tcBorders>
                  <w:shd w:val="clear" w:color="auto" w:fill="auto"/>
                  <w:vAlign w:val="center"/>
                </w:tcPr>
                <w:p w14:paraId="2F714B7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±30</w:t>
                  </w:r>
                </w:p>
              </w:tc>
            </w:tr>
            <w:tr w14:paraId="7290392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9" w:hRule="atLeast"/>
                <w:jc w:val="center"/>
              </w:trPr>
              <w:tc>
                <w:tcPr>
                  <w:tcW w:w="1668" w:type="pct"/>
                  <w:tcBorders>
                    <w:tl2br w:val="nil"/>
                    <w:tr2bl w:val="nil"/>
                  </w:tcBorders>
                  <w:shd w:val="clear" w:color="auto" w:fill="auto"/>
                  <w:vAlign w:val="center"/>
                </w:tcPr>
                <w:p w14:paraId="26589810">
                  <w:pPr>
                    <w:pStyle w:val="107"/>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扩展度</w:t>
                  </w:r>
                </w:p>
              </w:tc>
              <w:tc>
                <w:tcPr>
                  <w:tcW w:w="1664" w:type="pct"/>
                  <w:tcBorders>
                    <w:tl2br w:val="nil"/>
                    <w:tr2bl w:val="nil"/>
                  </w:tcBorders>
                  <w:shd w:val="clear" w:color="auto" w:fill="auto"/>
                  <w:vAlign w:val="center"/>
                </w:tcPr>
                <w:p w14:paraId="39AEF3C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≥350</w:t>
                  </w:r>
                </w:p>
              </w:tc>
              <w:tc>
                <w:tcPr>
                  <w:tcW w:w="1667" w:type="pct"/>
                  <w:tcBorders>
                    <w:tl2br w:val="nil"/>
                    <w:tr2bl w:val="nil"/>
                  </w:tcBorders>
                  <w:shd w:val="clear" w:color="auto" w:fill="auto"/>
                  <w:vAlign w:val="center"/>
                </w:tcPr>
                <w:p w14:paraId="5FC5CE6E">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±30</w:t>
                  </w:r>
                </w:p>
              </w:tc>
            </w:tr>
          </w:tbl>
          <w:p w14:paraId="32A7FA08">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（3）扩展度</w:t>
            </w:r>
          </w:p>
          <w:p w14:paraId="1C8A8ED7">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扩展度实测值与控制目标值的允许偏差宜符合上表的规定。 自密实混凝 土扩展度控制目标值不宜小于 550mm ，并应满足施工要求。</w:t>
            </w:r>
          </w:p>
          <w:p w14:paraId="1C7EC9D6">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（4）含气量</w:t>
            </w:r>
          </w:p>
          <w:p w14:paraId="4F64D7F7">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混凝土含气量实测值不宜大于 7%，并与合同规定值的允许偏差不宜超过 ±1.0%。</w:t>
            </w:r>
          </w:p>
          <w:p w14:paraId="20E65AAB">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（5）耐久性能</w:t>
            </w:r>
          </w:p>
          <w:p w14:paraId="4D5AEE0B">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混凝土耐久性能应满足设计要求，检验评定应符合 JGJ/T193 的规定。</w:t>
            </w:r>
          </w:p>
          <w:p w14:paraId="13F04FF7">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422" w:leftChars="0" w:firstLine="0" w:firstLineChars="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、主要原辅材料与能源消耗</w:t>
            </w:r>
          </w:p>
          <w:p w14:paraId="1407FBA9">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主要原辅材料</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及能源</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使用情况</w:t>
            </w:r>
          </w:p>
          <w:p w14:paraId="1F2A3406">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项目主要原辅材料及能源消耗一览表</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38"/>
              <w:gridCol w:w="543"/>
              <w:gridCol w:w="713"/>
              <w:gridCol w:w="903"/>
              <w:gridCol w:w="3507"/>
              <w:gridCol w:w="918"/>
              <w:gridCol w:w="723"/>
            </w:tblGrid>
            <w:tr w14:paraId="5398532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713" w:type="pct"/>
                  <w:gridSpan w:val="2"/>
                  <w:tcBorders>
                    <w:tl2br w:val="nil"/>
                    <w:tr2bl w:val="nil"/>
                  </w:tcBorders>
                  <w:shd w:val="clear" w:color="auto" w:fill="auto"/>
                  <w:noWrap w:val="0"/>
                  <w:vAlign w:val="center"/>
                </w:tcPr>
                <w:p w14:paraId="5BBAC01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466" w:type="pct"/>
                  <w:tcBorders>
                    <w:tl2br w:val="nil"/>
                    <w:tr2bl w:val="nil"/>
                  </w:tcBorders>
                  <w:shd w:val="clear" w:color="auto" w:fill="auto"/>
                  <w:noWrap w:val="0"/>
                  <w:vAlign w:val="center"/>
                </w:tcPr>
                <w:p w14:paraId="0D9D7971">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505" w:type="pct"/>
                  <w:tcBorders>
                    <w:tl2br w:val="nil"/>
                    <w:tr2bl w:val="nil"/>
                  </w:tcBorders>
                  <w:shd w:val="clear" w:color="auto" w:fill="auto"/>
                  <w:noWrap w:val="0"/>
                  <w:vAlign w:val="center"/>
                </w:tcPr>
                <w:p w14:paraId="38E68C88">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消耗量</w:t>
                  </w:r>
                </w:p>
              </w:tc>
              <w:tc>
                <w:tcPr>
                  <w:tcW w:w="2245" w:type="pct"/>
                  <w:tcBorders>
                    <w:tl2br w:val="nil"/>
                    <w:tr2bl w:val="nil"/>
                  </w:tcBorders>
                  <w:shd w:val="clear" w:color="auto" w:fill="auto"/>
                  <w:noWrap w:val="0"/>
                  <w:vAlign w:val="center"/>
                </w:tcPr>
                <w:p w14:paraId="6BA206C0">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成分规格</w:t>
                  </w:r>
                </w:p>
              </w:tc>
              <w:tc>
                <w:tcPr>
                  <w:tcW w:w="596" w:type="pct"/>
                  <w:tcBorders>
                    <w:tl2br w:val="nil"/>
                    <w:tr2bl w:val="nil"/>
                  </w:tcBorders>
                  <w:shd w:val="clear" w:color="auto" w:fill="auto"/>
                  <w:noWrap w:val="0"/>
                  <w:vAlign w:val="center"/>
                </w:tcPr>
                <w:p w14:paraId="45C4833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最大储存量</w:t>
                  </w:r>
                </w:p>
              </w:tc>
              <w:tc>
                <w:tcPr>
                  <w:tcW w:w="472" w:type="pct"/>
                  <w:tcBorders>
                    <w:tl2br w:val="nil"/>
                    <w:tr2bl w:val="nil"/>
                  </w:tcBorders>
                  <w:shd w:val="clear" w:color="auto" w:fill="auto"/>
                  <w:noWrap w:val="0"/>
                  <w:vAlign w:val="center"/>
                </w:tcPr>
                <w:p w14:paraId="5396EC7E">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来源</w:t>
                  </w:r>
                </w:p>
              </w:tc>
            </w:tr>
            <w:tr w14:paraId="367E00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5" w:hRule="atLeast"/>
                <w:jc w:val="center"/>
              </w:trPr>
              <w:tc>
                <w:tcPr>
                  <w:tcW w:w="355" w:type="pct"/>
                  <w:vMerge w:val="restart"/>
                  <w:tcBorders>
                    <w:tl2br w:val="nil"/>
                    <w:tr2bl w:val="nil"/>
                  </w:tcBorders>
                  <w:shd w:val="clear" w:color="auto" w:fill="auto"/>
                  <w:noWrap w:val="0"/>
                  <w:vAlign w:val="center"/>
                </w:tcPr>
                <w:p w14:paraId="65EA0CC0">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主辅料</w:t>
                  </w:r>
                </w:p>
              </w:tc>
              <w:tc>
                <w:tcPr>
                  <w:tcW w:w="358" w:type="pct"/>
                  <w:tcBorders>
                    <w:tl2br w:val="nil"/>
                    <w:tr2bl w:val="nil"/>
                  </w:tcBorders>
                  <w:shd w:val="clear" w:color="auto" w:fill="auto"/>
                  <w:noWrap w:val="0"/>
                  <w:vAlign w:val="center"/>
                </w:tcPr>
                <w:p w14:paraId="5AC5E089">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水泥</w:t>
                  </w:r>
                </w:p>
              </w:tc>
              <w:tc>
                <w:tcPr>
                  <w:tcW w:w="466" w:type="pct"/>
                  <w:tcBorders>
                    <w:tl2br w:val="nil"/>
                    <w:tr2bl w:val="nil"/>
                  </w:tcBorders>
                  <w:shd w:val="clear" w:color="auto" w:fill="auto"/>
                  <w:noWrap w:val="0"/>
                  <w:vAlign w:val="center"/>
                </w:tcPr>
                <w:p w14:paraId="546C6664">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505" w:type="pct"/>
                  <w:tcBorders>
                    <w:tl2br w:val="nil"/>
                    <w:tr2bl w:val="nil"/>
                  </w:tcBorders>
                  <w:shd w:val="clear" w:color="auto" w:fill="auto"/>
                  <w:noWrap w:val="0"/>
                  <w:vAlign w:val="top"/>
                </w:tcPr>
                <w:p w14:paraId="39E904A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95000</w:t>
                  </w:r>
                </w:p>
              </w:tc>
              <w:tc>
                <w:tcPr>
                  <w:tcW w:w="2245" w:type="pct"/>
                  <w:tcBorders>
                    <w:tl2br w:val="nil"/>
                    <w:tr2bl w:val="nil"/>
                  </w:tcBorders>
                  <w:shd w:val="clear" w:color="auto" w:fill="auto"/>
                  <w:noWrap w:val="0"/>
                  <w:vAlign w:val="center"/>
                </w:tcPr>
                <w:p w14:paraId="13A59B1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硅酸盐</w:t>
                  </w:r>
                </w:p>
              </w:tc>
              <w:tc>
                <w:tcPr>
                  <w:tcW w:w="596" w:type="pct"/>
                  <w:tcBorders>
                    <w:tl2br w:val="nil"/>
                    <w:tr2bl w:val="nil"/>
                  </w:tcBorders>
                  <w:shd w:val="clear" w:color="auto" w:fill="auto"/>
                  <w:noWrap w:val="0"/>
                  <w:vAlign w:val="center"/>
                </w:tcPr>
                <w:p w14:paraId="7D8EBAEE">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300t</w:t>
                  </w:r>
                </w:p>
              </w:tc>
              <w:tc>
                <w:tcPr>
                  <w:tcW w:w="472" w:type="pct"/>
                  <w:tcBorders>
                    <w:tl2br w:val="nil"/>
                    <w:tr2bl w:val="nil"/>
                  </w:tcBorders>
                  <w:shd w:val="clear" w:color="auto" w:fill="auto"/>
                  <w:noWrap w:val="0"/>
                  <w:vAlign w:val="center"/>
                </w:tcPr>
                <w:p w14:paraId="60D88082">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外购</w:t>
                  </w:r>
                </w:p>
              </w:tc>
            </w:tr>
            <w:tr w14:paraId="1A8957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7F20F9A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58" w:type="pct"/>
                  <w:tcBorders>
                    <w:tl2br w:val="nil"/>
                    <w:tr2bl w:val="nil"/>
                  </w:tcBorders>
                  <w:shd w:val="clear" w:color="auto" w:fill="auto"/>
                  <w:noWrap w:val="0"/>
                  <w:vAlign w:val="center"/>
                </w:tcPr>
                <w:p w14:paraId="2856DF8E">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粉煤灰</w:t>
                  </w:r>
                </w:p>
              </w:tc>
              <w:tc>
                <w:tcPr>
                  <w:tcW w:w="466" w:type="pct"/>
                  <w:tcBorders>
                    <w:tl2br w:val="nil"/>
                    <w:tr2bl w:val="nil"/>
                  </w:tcBorders>
                  <w:shd w:val="clear" w:color="auto" w:fill="auto"/>
                  <w:noWrap w:val="0"/>
                  <w:vAlign w:val="center"/>
                </w:tcPr>
                <w:p w14:paraId="3885070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05" w:type="pct"/>
                  <w:tcBorders>
                    <w:tl2br w:val="nil"/>
                    <w:tr2bl w:val="nil"/>
                  </w:tcBorders>
                  <w:shd w:val="clear" w:color="auto" w:fill="auto"/>
                  <w:noWrap w:val="0"/>
                  <w:vAlign w:val="top"/>
                </w:tcPr>
                <w:p w14:paraId="3D402AAD">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15000</w:t>
                  </w:r>
                </w:p>
              </w:tc>
              <w:tc>
                <w:tcPr>
                  <w:tcW w:w="2245" w:type="pct"/>
                  <w:tcBorders>
                    <w:tl2br w:val="nil"/>
                    <w:tr2bl w:val="nil"/>
                  </w:tcBorders>
                  <w:shd w:val="clear" w:color="auto" w:fill="auto"/>
                  <w:noWrap w:val="0"/>
                  <w:vAlign w:val="center"/>
                </w:tcPr>
                <w:p w14:paraId="401A340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F类二级</w:t>
                  </w:r>
                </w:p>
              </w:tc>
              <w:tc>
                <w:tcPr>
                  <w:tcW w:w="596" w:type="pct"/>
                  <w:tcBorders>
                    <w:tl2br w:val="nil"/>
                    <w:tr2bl w:val="nil"/>
                  </w:tcBorders>
                  <w:shd w:val="clear" w:color="auto" w:fill="auto"/>
                  <w:noWrap w:val="0"/>
                  <w:vAlign w:val="center"/>
                </w:tcPr>
                <w:p w14:paraId="21CADBB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150t</w:t>
                  </w:r>
                </w:p>
              </w:tc>
              <w:tc>
                <w:tcPr>
                  <w:tcW w:w="472" w:type="pct"/>
                  <w:tcBorders>
                    <w:tl2br w:val="nil"/>
                    <w:tr2bl w:val="nil"/>
                  </w:tcBorders>
                  <w:shd w:val="clear" w:color="auto" w:fill="auto"/>
                  <w:noWrap w:val="0"/>
                  <w:vAlign w:val="center"/>
                </w:tcPr>
                <w:p w14:paraId="4DAA0048">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w:t>
                  </w:r>
                </w:p>
              </w:tc>
            </w:tr>
            <w:tr w14:paraId="04ADFC5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5DB238C1">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58" w:type="pct"/>
                  <w:tcBorders>
                    <w:tl2br w:val="nil"/>
                    <w:tr2bl w:val="nil"/>
                  </w:tcBorders>
                  <w:shd w:val="clear" w:color="auto" w:fill="auto"/>
                  <w:noWrap w:val="0"/>
                  <w:vAlign w:val="center"/>
                </w:tcPr>
                <w:p w14:paraId="610E927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砂</w:t>
                  </w:r>
                </w:p>
              </w:tc>
              <w:tc>
                <w:tcPr>
                  <w:tcW w:w="466" w:type="pct"/>
                  <w:tcBorders>
                    <w:tl2br w:val="nil"/>
                    <w:tr2bl w:val="nil"/>
                  </w:tcBorders>
                  <w:shd w:val="clear" w:color="auto" w:fill="auto"/>
                  <w:noWrap w:val="0"/>
                  <w:vAlign w:val="center"/>
                </w:tcPr>
                <w:p w14:paraId="56419D3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05" w:type="pct"/>
                  <w:tcBorders>
                    <w:tl2br w:val="nil"/>
                    <w:tr2bl w:val="nil"/>
                  </w:tcBorders>
                  <w:shd w:val="clear" w:color="auto" w:fill="auto"/>
                  <w:noWrap w:val="0"/>
                  <w:vAlign w:val="top"/>
                </w:tcPr>
                <w:p w14:paraId="7B23EED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20000</w:t>
                  </w:r>
                </w:p>
              </w:tc>
              <w:tc>
                <w:tcPr>
                  <w:tcW w:w="2245" w:type="pct"/>
                  <w:tcBorders>
                    <w:tl2br w:val="nil"/>
                    <w:tr2bl w:val="nil"/>
                  </w:tcBorders>
                  <w:shd w:val="clear" w:color="auto" w:fill="auto"/>
                  <w:noWrap w:val="0"/>
                  <w:vAlign w:val="center"/>
                </w:tcPr>
                <w:p w14:paraId="3624C041">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SiO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、AlO3等氧化物，规格：0~5mm</w:t>
                  </w:r>
                </w:p>
              </w:tc>
              <w:tc>
                <w:tcPr>
                  <w:tcW w:w="596" w:type="pct"/>
                  <w:tcBorders>
                    <w:tl2br w:val="nil"/>
                    <w:tr2bl w:val="nil"/>
                  </w:tcBorders>
                  <w:shd w:val="clear" w:color="auto" w:fill="auto"/>
                  <w:noWrap w:val="0"/>
                  <w:vAlign w:val="center"/>
                </w:tcPr>
                <w:p w14:paraId="3B2CD79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1000t</w:t>
                  </w:r>
                </w:p>
              </w:tc>
              <w:tc>
                <w:tcPr>
                  <w:tcW w:w="472" w:type="pct"/>
                  <w:tcBorders>
                    <w:tl2br w:val="nil"/>
                    <w:tr2bl w:val="nil"/>
                  </w:tcBorders>
                  <w:shd w:val="clear" w:color="auto" w:fill="auto"/>
                  <w:noWrap w:val="0"/>
                  <w:vAlign w:val="center"/>
                </w:tcPr>
                <w:p w14:paraId="259B6D33">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w:t>
                  </w:r>
                </w:p>
              </w:tc>
            </w:tr>
            <w:tr w14:paraId="6CE844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69662C49">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58" w:type="pct"/>
                  <w:tcBorders>
                    <w:tl2br w:val="nil"/>
                    <w:tr2bl w:val="nil"/>
                  </w:tcBorders>
                  <w:shd w:val="clear" w:color="auto" w:fill="auto"/>
                  <w:noWrap w:val="0"/>
                  <w:vAlign w:val="center"/>
                </w:tcPr>
                <w:p w14:paraId="6CA22050">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碎石</w:t>
                  </w:r>
                </w:p>
              </w:tc>
              <w:tc>
                <w:tcPr>
                  <w:tcW w:w="466" w:type="pct"/>
                  <w:tcBorders>
                    <w:tl2br w:val="nil"/>
                    <w:tr2bl w:val="nil"/>
                  </w:tcBorders>
                  <w:shd w:val="clear" w:color="auto" w:fill="auto"/>
                  <w:noWrap w:val="0"/>
                  <w:vAlign w:val="center"/>
                </w:tcPr>
                <w:p w14:paraId="1FBBED7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05" w:type="pct"/>
                  <w:tcBorders>
                    <w:tl2br w:val="nil"/>
                    <w:tr2bl w:val="nil"/>
                  </w:tcBorders>
                  <w:shd w:val="clear" w:color="auto" w:fill="auto"/>
                  <w:noWrap w:val="0"/>
                  <w:vAlign w:val="top"/>
                </w:tcPr>
                <w:p w14:paraId="445036B6">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t>323401.97</w:t>
                  </w:r>
                </w:p>
              </w:tc>
              <w:tc>
                <w:tcPr>
                  <w:tcW w:w="2245" w:type="pct"/>
                  <w:tcBorders>
                    <w:tl2br w:val="nil"/>
                    <w:tr2bl w:val="nil"/>
                  </w:tcBorders>
                  <w:shd w:val="clear" w:color="auto" w:fill="auto"/>
                  <w:noWrap w:val="0"/>
                  <w:vAlign w:val="center"/>
                </w:tcPr>
                <w:p w14:paraId="7A3C3537">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规格：5~10mm、5~16.5mm、16.5~31.50mm</w:t>
                  </w:r>
                </w:p>
              </w:tc>
              <w:tc>
                <w:tcPr>
                  <w:tcW w:w="596" w:type="pct"/>
                  <w:tcBorders>
                    <w:tl2br w:val="nil"/>
                    <w:tr2bl w:val="nil"/>
                  </w:tcBorders>
                  <w:shd w:val="clear" w:color="auto" w:fill="auto"/>
                  <w:noWrap w:val="0"/>
                  <w:vAlign w:val="center"/>
                </w:tcPr>
                <w:p w14:paraId="540FD698">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3000t</w:t>
                  </w:r>
                </w:p>
              </w:tc>
              <w:tc>
                <w:tcPr>
                  <w:tcW w:w="472" w:type="pct"/>
                  <w:tcBorders>
                    <w:tl2br w:val="nil"/>
                    <w:tr2bl w:val="nil"/>
                  </w:tcBorders>
                  <w:shd w:val="clear" w:color="auto" w:fill="auto"/>
                  <w:noWrap w:val="0"/>
                  <w:vAlign w:val="center"/>
                </w:tcPr>
                <w:p w14:paraId="611E9458">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w:t>
                  </w:r>
                </w:p>
              </w:tc>
            </w:tr>
            <w:tr w14:paraId="1F2FB9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7456E640">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58" w:type="pct"/>
                  <w:tcBorders>
                    <w:tl2br w:val="nil"/>
                    <w:tr2bl w:val="nil"/>
                  </w:tcBorders>
                  <w:shd w:val="clear" w:color="auto" w:fill="auto"/>
                  <w:noWrap w:val="0"/>
                  <w:vAlign w:val="center"/>
                </w:tcPr>
                <w:p w14:paraId="1877213A">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减水剂</w:t>
                  </w:r>
                </w:p>
              </w:tc>
              <w:tc>
                <w:tcPr>
                  <w:tcW w:w="466" w:type="pct"/>
                  <w:tcBorders>
                    <w:tl2br w:val="nil"/>
                    <w:tr2bl w:val="nil"/>
                  </w:tcBorders>
                  <w:shd w:val="clear" w:color="auto" w:fill="auto"/>
                  <w:noWrap w:val="0"/>
                  <w:vAlign w:val="center"/>
                </w:tcPr>
                <w:p w14:paraId="7BC8910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05" w:type="pct"/>
                  <w:tcBorders>
                    <w:tl2br w:val="nil"/>
                    <w:tr2bl w:val="nil"/>
                  </w:tcBorders>
                  <w:shd w:val="clear" w:color="auto" w:fill="auto"/>
                  <w:noWrap w:val="0"/>
                  <w:vAlign w:val="top"/>
                </w:tcPr>
                <w:p w14:paraId="4532F633">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2245" w:type="pct"/>
                  <w:tcBorders>
                    <w:tl2br w:val="nil"/>
                    <w:tr2bl w:val="nil"/>
                  </w:tcBorders>
                  <w:shd w:val="clear" w:color="auto" w:fill="auto"/>
                  <w:noWrap w:val="0"/>
                  <w:vAlign w:val="center"/>
                </w:tcPr>
                <w:p w14:paraId="1A6DD31D">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聚羧酸系物质减水剂</w:t>
                  </w:r>
                </w:p>
              </w:tc>
              <w:tc>
                <w:tcPr>
                  <w:tcW w:w="596" w:type="pct"/>
                  <w:tcBorders>
                    <w:tl2br w:val="nil"/>
                    <w:tr2bl w:val="nil"/>
                  </w:tcBorders>
                  <w:shd w:val="clear" w:color="auto" w:fill="auto"/>
                  <w:noWrap w:val="0"/>
                  <w:vAlign w:val="center"/>
                </w:tcPr>
                <w:p w14:paraId="2B87E21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5t</w:t>
                  </w:r>
                </w:p>
              </w:tc>
              <w:tc>
                <w:tcPr>
                  <w:tcW w:w="472" w:type="pct"/>
                  <w:tcBorders>
                    <w:tl2br w:val="nil"/>
                    <w:tr2bl w:val="nil"/>
                  </w:tcBorders>
                  <w:shd w:val="clear" w:color="auto" w:fill="auto"/>
                  <w:noWrap w:val="0"/>
                  <w:vAlign w:val="center"/>
                </w:tcPr>
                <w:p w14:paraId="2AC92624">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w:t>
                  </w:r>
                </w:p>
              </w:tc>
            </w:tr>
            <w:tr w14:paraId="2CF56C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17EC889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58" w:type="pct"/>
                  <w:tcBorders>
                    <w:tl2br w:val="nil"/>
                    <w:tr2bl w:val="nil"/>
                  </w:tcBorders>
                  <w:shd w:val="clear" w:color="auto" w:fill="auto"/>
                  <w:noWrap w:val="0"/>
                  <w:vAlign w:val="center"/>
                </w:tcPr>
                <w:p w14:paraId="7F2943C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机油</w:t>
                  </w:r>
                </w:p>
              </w:tc>
              <w:tc>
                <w:tcPr>
                  <w:tcW w:w="466" w:type="pct"/>
                  <w:tcBorders>
                    <w:tl2br w:val="nil"/>
                    <w:tr2bl w:val="nil"/>
                  </w:tcBorders>
                  <w:shd w:val="clear" w:color="auto" w:fill="auto"/>
                  <w:noWrap w:val="0"/>
                  <w:vAlign w:val="center"/>
                </w:tcPr>
                <w:p w14:paraId="200874A9">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t/a</w:t>
                  </w:r>
                </w:p>
              </w:tc>
              <w:tc>
                <w:tcPr>
                  <w:tcW w:w="505" w:type="pct"/>
                  <w:tcBorders>
                    <w:tl2br w:val="nil"/>
                    <w:tr2bl w:val="nil"/>
                  </w:tcBorders>
                  <w:shd w:val="clear" w:color="auto" w:fill="auto"/>
                  <w:noWrap w:val="0"/>
                  <w:vAlign w:val="center"/>
                </w:tcPr>
                <w:p w14:paraId="4A423FA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w:t>
                  </w:r>
                </w:p>
              </w:tc>
              <w:tc>
                <w:tcPr>
                  <w:tcW w:w="2245" w:type="pct"/>
                  <w:tcBorders>
                    <w:tl2br w:val="nil"/>
                    <w:tr2bl w:val="nil"/>
                  </w:tcBorders>
                  <w:shd w:val="clear" w:color="auto" w:fill="auto"/>
                  <w:noWrap w:val="0"/>
                  <w:vAlign w:val="center"/>
                </w:tcPr>
                <w:p w14:paraId="37598F4A">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机油库房储存</w:t>
                  </w:r>
                </w:p>
              </w:tc>
              <w:tc>
                <w:tcPr>
                  <w:tcW w:w="596" w:type="pct"/>
                  <w:tcBorders>
                    <w:tl2br w:val="nil"/>
                    <w:tr2bl w:val="nil"/>
                  </w:tcBorders>
                  <w:shd w:val="clear" w:color="auto" w:fill="auto"/>
                  <w:noWrap w:val="0"/>
                  <w:vAlign w:val="center"/>
                </w:tcPr>
                <w:p w14:paraId="3B57F83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0.1t</w:t>
                  </w:r>
                </w:p>
              </w:tc>
              <w:tc>
                <w:tcPr>
                  <w:tcW w:w="472" w:type="pct"/>
                  <w:tcBorders>
                    <w:tl2br w:val="nil"/>
                    <w:tr2bl w:val="nil"/>
                  </w:tcBorders>
                  <w:shd w:val="clear" w:color="auto" w:fill="auto"/>
                  <w:noWrap w:val="0"/>
                  <w:vAlign w:val="center"/>
                </w:tcPr>
                <w:p w14:paraId="609500A2">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外购</w:t>
                  </w:r>
                </w:p>
              </w:tc>
            </w:tr>
            <w:tr w14:paraId="670AD0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restart"/>
                  <w:tcBorders>
                    <w:tl2br w:val="nil"/>
                    <w:tr2bl w:val="nil"/>
                  </w:tcBorders>
                  <w:shd w:val="clear" w:color="auto" w:fill="auto"/>
                  <w:noWrap w:val="0"/>
                  <w:vAlign w:val="center"/>
                </w:tcPr>
                <w:p w14:paraId="0E1C12F9">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能源</w:t>
                  </w:r>
                </w:p>
              </w:tc>
              <w:tc>
                <w:tcPr>
                  <w:tcW w:w="358" w:type="pct"/>
                  <w:tcBorders>
                    <w:tl2br w:val="nil"/>
                    <w:tr2bl w:val="nil"/>
                  </w:tcBorders>
                  <w:shd w:val="clear" w:color="auto" w:fill="auto"/>
                  <w:noWrap w:val="0"/>
                  <w:vAlign w:val="center"/>
                </w:tcPr>
                <w:p w14:paraId="329E51F7">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14:textFill>
                        <w14:solidFill>
                          <w14:schemeClr w14:val="tx1"/>
                        </w14:solidFill>
                      </w14:textFill>
                    </w:rPr>
                    <w:t>电</w:t>
                  </w:r>
                </w:p>
              </w:tc>
              <w:tc>
                <w:tcPr>
                  <w:tcW w:w="466" w:type="pct"/>
                  <w:tcBorders>
                    <w:tl2br w:val="nil"/>
                    <w:tr2bl w:val="nil"/>
                  </w:tcBorders>
                  <w:shd w:val="clear" w:color="auto" w:fill="auto"/>
                  <w:noWrap w:val="0"/>
                  <w:vAlign w:val="center"/>
                </w:tcPr>
                <w:p w14:paraId="4691E391">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万kWh/a</w:t>
                  </w:r>
                </w:p>
              </w:tc>
              <w:tc>
                <w:tcPr>
                  <w:tcW w:w="505" w:type="pct"/>
                  <w:tcBorders>
                    <w:tl2br w:val="nil"/>
                    <w:tr2bl w:val="nil"/>
                  </w:tcBorders>
                  <w:shd w:val="clear" w:color="auto" w:fill="auto"/>
                  <w:noWrap w:val="0"/>
                  <w:vAlign w:val="center"/>
                </w:tcPr>
                <w:p w14:paraId="78F73A5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20</w:t>
                  </w:r>
                </w:p>
              </w:tc>
              <w:tc>
                <w:tcPr>
                  <w:tcW w:w="2245" w:type="pct"/>
                  <w:tcBorders>
                    <w:tl2br w:val="nil"/>
                    <w:tr2bl w:val="nil"/>
                  </w:tcBorders>
                  <w:shd w:val="clear" w:color="auto" w:fill="auto"/>
                  <w:noWrap w:val="0"/>
                  <w:vAlign w:val="center"/>
                </w:tcPr>
                <w:p w14:paraId="251E449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市政供电</w:t>
                  </w:r>
                </w:p>
              </w:tc>
              <w:tc>
                <w:tcPr>
                  <w:tcW w:w="596" w:type="pct"/>
                  <w:tcBorders>
                    <w:tl2br w:val="nil"/>
                    <w:tr2bl w:val="nil"/>
                  </w:tcBorders>
                  <w:shd w:val="clear" w:color="auto" w:fill="auto"/>
                  <w:noWrap w:val="0"/>
                  <w:vAlign w:val="center"/>
                </w:tcPr>
                <w:p w14:paraId="79E2DA5D">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2" w:type="pct"/>
                  <w:tcBorders>
                    <w:tl2br w:val="nil"/>
                    <w:tr2bl w:val="nil"/>
                  </w:tcBorders>
                  <w:shd w:val="clear" w:color="auto" w:fill="auto"/>
                  <w:noWrap w:val="0"/>
                  <w:vAlign w:val="center"/>
                </w:tcPr>
                <w:p w14:paraId="3D2C9355">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区域电网</w:t>
                  </w:r>
                </w:p>
              </w:tc>
            </w:tr>
            <w:tr w14:paraId="1C4460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55" w:type="pct"/>
                  <w:vMerge w:val="continue"/>
                  <w:tcBorders>
                    <w:tl2br w:val="nil"/>
                    <w:tr2bl w:val="nil"/>
                  </w:tcBorders>
                  <w:shd w:val="clear" w:color="auto" w:fill="auto"/>
                  <w:noWrap w:val="0"/>
                  <w:vAlign w:val="center"/>
                </w:tcPr>
                <w:p w14:paraId="55CC646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8" w:type="pct"/>
                  <w:tcBorders>
                    <w:tl2br w:val="nil"/>
                    <w:tr2bl w:val="nil"/>
                  </w:tcBorders>
                  <w:shd w:val="clear" w:color="auto" w:fill="auto"/>
                  <w:noWrap w:val="0"/>
                  <w:vAlign w:val="center"/>
                </w:tcPr>
                <w:p w14:paraId="77DF7C2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新鲜水</w:t>
                  </w:r>
                </w:p>
              </w:tc>
              <w:tc>
                <w:tcPr>
                  <w:tcW w:w="466" w:type="pct"/>
                  <w:tcBorders>
                    <w:tl2br w:val="nil"/>
                    <w:tr2bl w:val="nil"/>
                  </w:tcBorders>
                  <w:shd w:val="clear" w:color="auto" w:fill="auto"/>
                  <w:noWrap w:val="0"/>
                  <w:vAlign w:val="center"/>
                </w:tcPr>
                <w:p w14:paraId="181CA8A8">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m³</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505" w:type="pct"/>
                  <w:tcBorders>
                    <w:tl2br w:val="nil"/>
                    <w:tr2bl w:val="nil"/>
                  </w:tcBorders>
                  <w:shd w:val="clear" w:color="auto" w:fill="auto"/>
                  <w:noWrap w:val="0"/>
                  <w:vAlign w:val="center"/>
                </w:tcPr>
                <w:p w14:paraId="5232AE36">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26100</w:t>
                  </w:r>
                </w:p>
              </w:tc>
              <w:tc>
                <w:tcPr>
                  <w:tcW w:w="2245" w:type="pct"/>
                  <w:tcBorders>
                    <w:tl2br w:val="nil"/>
                    <w:tr2bl w:val="nil"/>
                  </w:tcBorders>
                  <w:shd w:val="clear" w:color="auto" w:fill="auto"/>
                  <w:noWrap w:val="0"/>
                  <w:vAlign w:val="center"/>
                </w:tcPr>
                <w:p w14:paraId="1AA1861A">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6" w:type="pct"/>
                  <w:tcBorders>
                    <w:tl2br w:val="nil"/>
                    <w:tr2bl w:val="nil"/>
                  </w:tcBorders>
                  <w:shd w:val="clear" w:color="auto" w:fill="auto"/>
                  <w:noWrap w:val="0"/>
                  <w:vAlign w:val="center"/>
                </w:tcPr>
                <w:p w14:paraId="5072267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2" w:type="pct"/>
                  <w:tcBorders>
                    <w:tl2br w:val="nil"/>
                    <w:tr2bl w:val="nil"/>
                  </w:tcBorders>
                  <w:shd w:val="clear" w:color="auto" w:fill="auto"/>
                  <w:noWrap w:val="0"/>
                  <w:vAlign w:val="center"/>
                </w:tcPr>
                <w:p w14:paraId="69C9A609">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市政供水</w:t>
                  </w:r>
                </w:p>
              </w:tc>
            </w:tr>
          </w:tbl>
          <w:p w14:paraId="0D3A6470">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本项目砂石原料等均来自外购</w:t>
            </w:r>
            <w:r>
              <w:rPr>
                <w:rFonts w:hint="eastAsia" w:cs="Times New Roman"/>
                <w:b w:val="0"/>
                <w:bCs w:val="0"/>
                <w:color w:val="000000" w:themeColor="text1"/>
                <w:sz w:val="24"/>
                <w:szCs w:val="24"/>
                <w:highlight w:val="none"/>
                <w:lang w:val="en-US" w:eastAsia="zh-CN"/>
                <w14:textFill>
                  <w14:solidFill>
                    <w14:schemeClr w14:val="tx1"/>
                  </w14:solidFill>
                </w14:textFill>
              </w:rPr>
              <w:t>，主要来自甘孜县川集建材销售有限责任公司甘孜县川集砂石生产加工园区建设项目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，本项目不进行砂石加工，项目原料均由生产厂家进行运输。砂石原料运输至堆场内进行堆放储存，粉料经气动输送密闭粉料储罐储存，减水剂由塑料桶密封储存后运输至厂区进行使用。</w:t>
            </w:r>
          </w:p>
          <w:p w14:paraId="3246887E">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（2）主要原辅材料理化性质：</w:t>
            </w:r>
          </w:p>
          <w:p w14:paraId="4457E610">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聚羧酸系减水剂：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所用聚羧酸系减水剂为购买的复合减水剂，由于多种不同用途和功能的化学材料按照一定的配比复合而成。项目所用减水剂无毒无害，为浅棕色液体，密度为1.07+0.02g/ml，固含量（20+2）%，水泥净浆流动度≥250mm（W/C=0.29），pH为6~8，氯离子含量≤0.02%，碱含量（Na2O+0.68K2O）≤0.2%。</w:t>
            </w:r>
          </w:p>
          <w:p w14:paraId="21088716">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水泥：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粉状水硬性无机胶凝材料。加水搅拌后成浆体，能在空气中硬化或者在水中更好的硬化，并能把砂、石等材料牢固地胶结在一起。硅酸盐水泥是以石灰石和粘土为主要原料，经破碎、配料、磨细制成生料，然后喂入水泥窑中煅烧成熟料，再将熟料加适量石膏</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有时还掺加混合材料或外加剂</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磨细而成。</w:t>
            </w:r>
          </w:p>
          <w:p w14:paraId="050CE7EA">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粉煤灰：</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是从煤燃烧后的烟气中收捕下来的细灰，粉煤灰是燃煤电厂排出的主要固体废物。我国火电厂粉煤灰的主要氧化物组成为:SiO</w:t>
            </w:r>
            <w:r>
              <w:rPr>
                <w:rFonts w:hint="default"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、Al</w:t>
            </w:r>
            <w:r>
              <w:rPr>
                <w:rFonts w:hint="default"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、FeO、Fe2O3、CaO、TiO2等。粉煤灰的元素组成</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质量分数</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为:O47.83%，i11.48%~31.14%，Al6.40%~22.91%，Fe1.90%~18.51%，Ca0.30%~25.10%，K0.22%~3.10%，Mg0.05%~1.92%，Ti0.40%~1.80%，S0.03%~4.75%，Na0.05%~1.40%，P0.00%~0.90%，Cl0.00%~0.12%，其他0.50%~29.12%。本项目采用F类粉煤灰，是由无烟煤或烟煤煅烧收集的，其CaO含量不大于10%。粉煤灰外观类似水泥，颜色在乳白色到灰黑色之间变化。粉煤灰颗粒呈多孔型蜂窝状组织，比表面积较大，具有较高的吸附活性，颗粒的粒径范围为0.5~300μm。并且珠壁具有多孔结构，孔隙率高达50%-80%，有很强的吸水性。</w:t>
            </w:r>
          </w:p>
          <w:p w14:paraId="677A86A2">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机油：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即发动机润滑油，Engineoil。密度约为0.91×10³</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kg/m³</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能对发动机起到润滑减磨、辅助冷却降温、密封防漏、防锈防蚀、减震缓冲等作用。被誉为汽车的"血液"。机油由基础油和添加剂两部分组成。基础油是润滑油的主要成分，决定着润滑油的基本性质，添加剂则可弥补和改善基础油性能方面的不足，赋予某些新的性能，是润滑油的重要组成部分。</w:t>
            </w:r>
          </w:p>
          <w:p w14:paraId="4E0120BF">
            <w:pPr>
              <w:pStyle w:val="114"/>
              <w:ind w:firstLine="482"/>
              <w:rPr>
                <w:color w:val="000000" w:themeColor="text1"/>
                <w:highlight w:val="none"/>
                <w:u w:val="none"/>
                <w14:textFill>
                  <w14:solidFill>
                    <w14:schemeClr w14:val="tx1"/>
                  </w14:solidFill>
                </w14:textFill>
              </w:rPr>
            </w:pP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3</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运输方式及环保措施</w:t>
            </w:r>
          </w:p>
          <w:p w14:paraId="34F26382">
            <w:pPr>
              <w:spacing w:line="360" w:lineRule="auto"/>
              <w:ind w:firstLine="480" w:firstLineChars="200"/>
              <w:rPr>
                <w:rFonts w:ascii="Times New Roman" w:hAnsi="Times New Roman" w:cs="Times New Roman"/>
                <w:bCs/>
                <w:color w:val="000000" w:themeColor="text1"/>
                <w:sz w:val="24"/>
                <w:highlight w:val="none"/>
                <w:u w:val="none"/>
                <w14:textFill>
                  <w14:solidFill>
                    <w14:schemeClr w14:val="tx1"/>
                  </w14:solidFill>
                </w14:textFill>
              </w:rPr>
            </w:pPr>
            <w:r>
              <w:rPr>
                <w:rFonts w:hint="eastAsia" w:ascii="宋体" w:hAnsi="Times New Roman" w:eastAsia="宋体" w:cs="Times New Roman"/>
                <w:color w:val="000000" w:themeColor="text1"/>
                <w:sz w:val="24"/>
                <w:highlight w:val="none"/>
                <w:u w:val="none"/>
                <w:lang w:val="en-US" w:eastAsia="zh-CN"/>
                <w14:textFill>
                  <w14:solidFill>
                    <w14:schemeClr w14:val="tx1"/>
                  </w14:solidFill>
                </w14:textFill>
              </w:rPr>
              <w:t>1）</w:t>
            </w:r>
            <w:r>
              <w:rPr>
                <w:rFonts w:ascii="Times New Roman" w:hAnsi="Times New Roman" w:cs="Times New Roman"/>
                <w:bCs/>
                <w:color w:val="000000" w:themeColor="text1"/>
                <w:sz w:val="24"/>
                <w:highlight w:val="none"/>
                <w:u w:val="none"/>
                <w14:textFill>
                  <w14:solidFill>
                    <w14:schemeClr w14:val="tx1"/>
                  </w14:solidFill>
                </w14:textFill>
              </w:rPr>
              <w:t>原辅材料运输路线：本项目砂石</w:t>
            </w:r>
            <w:r>
              <w:rPr>
                <w:rFonts w:hint="eastAsia" w:ascii="Times New Roman" w:hAnsi="Times New Roman" w:cs="Times New Roman"/>
                <w:bCs/>
                <w:color w:val="000000" w:themeColor="text1"/>
                <w:sz w:val="24"/>
                <w:highlight w:val="none"/>
                <w:u w:val="none"/>
                <w:lang w:eastAsia="zh-CN"/>
                <w14:textFill>
                  <w14:solidFill>
                    <w14:schemeClr w14:val="tx1"/>
                  </w14:solidFill>
                </w14:textFill>
              </w:rPr>
              <w:t>、</w:t>
            </w:r>
            <w:r>
              <w:rPr>
                <w:rFonts w:ascii="Times New Roman" w:hAnsi="Times New Roman" w:cs="Times New Roman"/>
                <w:bCs/>
                <w:color w:val="000000" w:themeColor="text1"/>
                <w:sz w:val="24"/>
                <w:highlight w:val="none"/>
                <w:u w:val="none"/>
                <w14:textFill>
                  <w14:solidFill>
                    <w14:schemeClr w14:val="tx1"/>
                  </w14:solidFill>
                </w14:textFill>
              </w:rPr>
              <w:t>骨料由运输车辆从</w:t>
            </w:r>
            <w:r>
              <w:rPr>
                <w:rFonts w:hint="eastAsia" w:cs="Times New Roman"/>
                <w:bCs/>
                <w:color w:val="000000" w:themeColor="text1"/>
                <w:sz w:val="24"/>
                <w:highlight w:val="none"/>
                <w:u w:val="none"/>
                <w:lang w:val="en-US" w:eastAsia="zh-CN"/>
                <w14:textFill>
                  <w14:solidFill>
                    <w14:schemeClr w14:val="tx1"/>
                  </w14:solidFill>
                </w14:textFill>
              </w:rPr>
              <w:t>G317</w:t>
            </w:r>
            <w:r>
              <w:rPr>
                <w:rFonts w:ascii="Times New Roman" w:hAnsi="Times New Roman" w:cs="Times New Roman"/>
                <w:bCs/>
                <w:color w:val="000000" w:themeColor="text1"/>
                <w:sz w:val="24"/>
                <w:highlight w:val="none"/>
                <w:u w:val="none"/>
                <w14:textFill>
                  <w14:solidFill>
                    <w14:schemeClr w14:val="tx1"/>
                  </w14:solidFill>
                </w14:textFill>
              </w:rPr>
              <w:t>输至本项目的砂石料场；水泥等粉末状物料采取专业散装运输车进行运输，且运输车的输送管路与配料仓的进料管路相接，通过散装运输车的气体压力将罐内物料输送到配料仓内。环保措施：</w:t>
            </w:r>
            <w:r>
              <w:rPr>
                <w:rFonts w:ascii="宋体" w:hAnsi="Times New Roman" w:eastAsia="宋体" w:cs="Times New Roman"/>
                <w:bCs/>
                <w:color w:val="000000" w:themeColor="text1"/>
                <w:sz w:val="24"/>
                <w:highlight w:val="none"/>
                <w:u w:val="none"/>
                <w14:textFill>
                  <w14:solidFill>
                    <w14:schemeClr w14:val="tx1"/>
                  </w14:solidFill>
                </w14:textFill>
              </w:rPr>
              <w:t>①</w:t>
            </w:r>
            <w:r>
              <w:rPr>
                <w:rFonts w:ascii="Times New Roman" w:hAnsi="Times New Roman" w:cs="Times New Roman"/>
                <w:bCs/>
                <w:color w:val="000000" w:themeColor="text1"/>
                <w:sz w:val="24"/>
                <w:highlight w:val="none"/>
                <w:u w:val="none"/>
                <w14:textFill>
                  <w14:solidFill>
                    <w14:schemeClr w14:val="tx1"/>
                  </w14:solidFill>
                </w14:textFill>
              </w:rPr>
              <w:t>运输车辆不得超载，防止物料泼洒；</w:t>
            </w:r>
            <w:r>
              <w:rPr>
                <w:rFonts w:ascii="宋体" w:hAnsi="Times New Roman" w:eastAsia="宋体" w:cs="Times New Roman"/>
                <w:bCs/>
                <w:color w:val="000000" w:themeColor="text1"/>
                <w:sz w:val="24"/>
                <w:highlight w:val="none"/>
                <w:u w:val="none"/>
                <w14:textFill>
                  <w14:solidFill>
                    <w14:schemeClr w14:val="tx1"/>
                  </w14:solidFill>
                </w14:textFill>
              </w:rPr>
              <w:t>②</w:t>
            </w:r>
            <w:r>
              <w:rPr>
                <w:rFonts w:ascii="Times New Roman" w:hAnsi="Times New Roman" w:cs="Times New Roman"/>
                <w:bCs/>
                <w:color w:val="000000" w:themeColor="text1"/>
                <w:sz w:val="24"/>
                <w:highlight w:val="none"/>
                <w:u w:val="none"/>
                <w14:textFill>
                  <w14:solidFill>
                    <w14:schemeClr w14:val="tx1"/>
                  </w14:solidFill>
                </w14:textFill>
              </w:rPr>
              <w:t>运输物料的车辆应当</w:t>
            </w:r>
            <w:r>
              <w:rPr>
                <w:rFonts w:ascii="Times New Roman" w:hAnsi="Times New Roman" w:cs="Times New Roman"/>
                <w:color w:val="000000" w:themeColor="text1"/>
                <w:sz w:val="24"/>
                <w:highlight w:val="none"/>
                <w:u w:val="none"/>
                <w14:textFill>
                  <w14:solidFill>
                    <w14:schemeClr w14:val="tx1"/>
                  </w14:solidFill>
                </w14:textFill>
              </w:rPr>
              <w:t>采用密闭车辆运输</w:t>
            </w:r>
            <w:r>
              <w:rPr>
                <w:rFonts w:ascii="Times New Roman" w:hAnsi="Times New Roman" w:cs="Times New Roman"/>
                <w:bCs/>
                <w:color w:val="000000" w:themeColor="text1"/>
                <w:sz w:val="24"/>
                <w:highlight w:val="none"/>
                <w:u w:val="none"/>
                <w14:textFill>
                  <w14:solidFill>
                    <w14:schemeClr w14:val="tx1"/>
                  </w14:solidFill>
                </w14:textFill>
              </w:rPr>
              <w:t>，并保证物料不遗撒外漏；</w:t>
            </w:r>
            <w:r>
              <w:rPr>
                <w:rFonts w:ascii="宋体" w:hAnsi="Times New Roman" w:eastAsia="宋体" w:cs="Times New Roman"/>
                <w:bCs/>
                <w:color w:val="000000" w:themeColor="text1"/>
                <w:sz w:val="24"/>
                <w:highlight w:val="none"/>
                <w:u w:val="none"/>
                <w14:textFill>
                  <w14:solidFill>
                    <w14:schemeClr w14:val="tx1"/>
                  </w14:solidFill>
                </w14:textFill>
              </w:rPr>
              <w:t>③</w:t>
            </w:r>
            <w:r>
              <w:rPr>
                <w:rFonts w:ascii="Times New Roman" w:hAnsi="Times New Roman" w:cs="Times New Roman"/>
                <w:bCs/>
                <w:color w:val="000000" w:themeColor="text1"/>
                <w:sz w:val="24"/>
                <w:highlight w:val="none"/>
                <w:u w:val="none"/>
                <w14:textFill>
                  <w14:solidFill>
                    <w14:schemeClr w14:val="tx1"/>
                  </w14:solidFill>
                </w14:textFill>
              </w:rPr>
              <w:t>厂区需设置洗车设施，车辆驶出装、卸场地前用水将车厢和轮胎冲洗干净；运输车辆驶出施厂区前要将车轮和槽帮冲洗干净，确保车辆不带泥土驶离工地；场地内运输通道及时清扫并定期洒水，以减少汽车行驶扬尘；</w:t>
            </w:r>
            <w:r>
              <w:rPr>
                <w:rFonts w:ascii="宋体" w:hAnsi="Times New Roman" w:eastAsia="宋体" w:cs="Times New Roman"/>
                <w:bCs/>
                <w:color w:val="000000" w:themeColor="text1"/>
                <w:sz w:val="24"/>
                <w:highlight w:val="none"/>
                <w:u w:val="none"/>
                <w14:textFill>
                  <w14:solidFill>
                    <w14:schemeClr w14:val="tx1"/>
                  </w14:solidFill>
                </w14:textFill>
              </w:rPr>
              <w:t>④</w:t>
            </w:r>
            <w:r>
              <w:rPr>
                <w:rFonts w:ascii="Times New Roman" w:hAnsi="Times New Roman" w:cs="Times New Roman"/>
                <w:bCs/>
                <w:color w:val="000000" w:themeColor="text1"/>
                <w:sz w:val="24"/>
                <w:highlight w:val="none"/>
                <w:u w:val="none"/>
                <w14:textFill>
                  <w14:solidFill>
                    <w14:schemeClr w14:val="tx1"/>
                  </w14:solidFill>
                </w14:textFill>
              </w:rPr>
              <w:t>合理安排作业时间，尽量减少夜间运输频次，并进行线路优化。</w:t>
            </w:r>
          </w:p>
          <w:p w14:paraId="7DA70CD4">
            <w:pPr>
              <w:spacing w:line="360" w:lineRule="auto"/>
              <w:ind w:firstLine="480" w:firstLineChars="200"/>
              <w:rPr>
                <w:rFonts w:ascii="Times New Roman" w:hAnsi="Times New Roman" w:cs="Times New Roman"/>
                <w:bCs/>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2）</w:t>
            </w:r>
            <w:r>
              <w:rPr>
                <w:rFonts w:ascii="Times New Roman" w:hAnsi="Times New Roman" w:cs="Times New Roman"/>
                <w:bCs/>
                <w:color w:val="000000" w:themeColor="text1"/>
                <w:sz w:val="24"/>
                <w:highlight w:val="none"/>
                <w:u w:val="none"/>
                <w14:textFill>
                  <w14:solidFill>
                    <w14:schemeClr w14:val="tx1"/>
                  </w14:solidFill>
                </w14:textFill>
              </w:rPr>
              <w:t>成品运输路线：项目产品经</w:t>
            </w:r>
            <w:r>
              <w:rPr>
                <w:rFonts w:hint="eastAsia" w:ascii="Times New Roman" w:hAnsi="Times New Roman" w:cs="Times New Roman"/>
                <w:bCs/>
                <w:color w:val="000000" w:themeColor="text1"/>
                <w:sz w:val="24"/>
                <w:highlight w:val="none"/>
                <w:u w:val="none"/>
                <w14:textFill>
                  <w14:solidFill>
                    <w14:schemeClr w14:val="tx1"/>
                  </w14:solidFill>
                </w14:textFill>
              </w:rPr>
              <w:t>G317</w:t>
            </w:r>
            <w:r>
              <w:rPr>
                <w:rFonts w:ascii="Times New Roman" w:hAnsi="Times New Roman" w:cs="Times New Roman"/>
                <w:bCs/>
                <w:color w:val="000000" w:themeColor="text1"/>
                <w:sz w:val="24"/>
                <w:highlight w:val="none"/>
                <w:u w:val="none"/>
                <w14:textFill>
                  <w14:solidFill>
                    <w14:schemeClr w14:val="tx1"/>
                  </w14:solidFill>
                </w14:textFill>
              </w:rPr>
              <w:t>运至</w:t>
            </w:r>
            <w:r>
              <w:rPr>
                <w:rFonts w:ascii="Times New Roman" w:hAnsi="Times New Roman" w:cs="Times New Roman"/>
                <w:color w:val="000000" w:themeColor="text1"/>
                <w:sz w:val="24"/>
                <w:highlight w:val="none"/>
                <w:u w:val="none"/>
                <w14:textFill>
                  <w14:solidFill>
                    <w14:schemeClr w14:val="tx1"/>
                  </w14:solidFill>
                </w14:textFill>
              </w:rPr>
              <w:t>周边乡镇。</w:t>
            </w:r>
            <w:r>
              <w:rPr>
                <w:rFonts w:ascii="Times New Roman" w:hAnsi="Times New Roman" w:cs="Times New Roman"/>
                <w:bCs/>
                <w:color w:val="000000" w:themeColor="text1"/>
                <w:sz w:val="24"/>
                <w:highlight w:val="none"/>
                <w:u w:val="none"/>
                <w14:textFill>
                  <w14:solidFill>
                    <w14:schemeClr w14:val="tx1"/>
                  </w14:solidFill>
                </w14:textFill>
              </w:rPr>
              <w:t>环保措施：项目产品外运时尽可能选择最短路线，避开居民区运输，运输车辆均应</w:t>
            </w:r>
            <w:r>
              <w:rPr>
                <w:rFonts w:ascii="Times New Roman" w:hAnsi="Times New Roman" w:cs="Times New Roman"/>
                <w:color w:val="000000" w:themeColor="text1"/>
                <w:sz w:val="24"/>
                <w:highlight w:val="none"/>
                <w:u w:val="none"/>
                <w14:textFill>
                  <w14:solidFill>
                    <w14:schemeClr w14:val="tx1"/>
                  </w14:solidFill>
                </w14:textFill>
              </w:rPr>
              <w:t>采用专用车运输</w:t>
            </w:r>
            <w:r>
              <w:rPr>
                <w:rFonts w:ascii="Times New Roman" w:hAnsi="Times New Roman" w:cs="Times New Roman"/>
                <w:bCs/>
                <w:color w:val="000000" w:themeColor="text1"/>
                <w:sz w:val="24"/>
                <w:highlight w:val="none"/>
                <w:u w:val="none"/>
                <w14:textFill>
                  <w14:solidFill>
                    <w14:schemeClr w14:val="tx1"/>
                  </w14:solidFill>
                </w14:textFill>
              </w:rPr>
              <w:t>，避免物料的散落，运输道路沿线定期洒水，以减少汽车行驶扬尘。</w:t>
            </w:r>
          </w:p>
          <w:p w14:paraId="042A00E9">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2" w:firstLineChars="200"/>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、主要设备</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清单</w:t>
            </w:r>
          </w:p>
          <w:p w14:paraId="167283D8">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项目主要设备一览表</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7"/>
              <w:gridCol w:w="1332"/>
              <w:gridCol w:w="1485"/>
              <w:gridCol w:w="637"/>
              <w:gridCol w:w="637"/>
              <w:gridCol w:w="1555"/>
              <w:gridCol w:w="1559"/>
            </w:tblGrid>
            <w:tr w14:paraId="2BC87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 w:hRule="atLeast"/>
                <w:jc w:val="center"/>
              </w:trPr>
              <w:tc>
                <w:tcPr>
                  <w:tcW w:w="406" w:type="pct"/>
                  <w:tcBorders>
                    <w:tl2br w:val="nil"/>
                    <w:tr2bl w:val="nil"/>
                  </w:tcBorders>
                  <w:shd w:val="clear" w:color="auto" w:fill="auto"/>
                  <w:noWrap w:val="0"/>
                  <w:vAlign w:val="center"/>
                </w:tcPr>
                <w:p w14:paraId="63F02B8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849" w:type="pct"/>
                  <w:tcBorders>
                    <w:tl2br w:val="nil"/>
                    <w:tr2bl w:val="nil"/>
                  </w:tcBorders>
                  <w:shd w:val="clear" w:color="auto" w:fill="auto"/>
                  <w:noWrap w:val="0"/>
                  <w:vAlign w:val="center"/>
                </w:tcPr>
                <w:p w14:paraId="6A3A613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w:t>
                  </w:r>
                </w:p>
              </w:tc>
              <w:tc>
                <w:tcPr>
                  <w:tcW w:w="946" w:type="pct"/>
                  <w:tcBorders>
                    <w:tl2br w:val="nil"/>
                    <w:tr2bl w:val="nil"/>
                  </w:tcBorders>
                  <w:shd w:val="clear" w:color="auto" w:fill="auto"/>
                  <w:noWrap w:val="0"/>
                  <w:vAlign w:val="center"/>
                </w:tcPr>
                <w:p w14:paraId="29BAA74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型号</w:t>
                  </w:r>
                </w:p>
              </w:tc>
              <w:tc>
                <w:tcPr>
                  <w:tcW w:w="406" w:type="pct"/>
                  <w:tcBorders>
                    <w:tl2br w:val="nil"/>
                    <w:tr2bl w:val="nil"/>
                  </w:tcBorders>
                  <w:shd w:val="clear" w:color="auto" w:fill="auto"/>
                  <w:noWrap w:val="0"/>
                  <w:vAlign w:val="center"/>
                </w:tcPr>
                <w:p w14:paraId="083F770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c>
                <w:tcPr>
                  <w:tcW w:w="406" w:type="pct"/>
                  <w:tcBorders>
                    <w:tl2br w:val="nil"/>
                    <w:tr2bl w:val="nil"/>
                  </w:tcBorders>
                  <w:shd w:val="clear" w:color="auto" w:fill="auto"/>
                  <w:noWrap w:val="0"/>
                  <w:vAlign w:val="center"/>
                </w:tcPr>
                <w:p w14:paraId="326A339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w:t>
                  </w:r>
                </w:p>
              </w:tc>
              <w:tc>
                <w:tcPr>
                  <w:tcW w:w="991" w:type="pct"/>
                  <w:tcBorders>
                    <w:tl2br w:val="nil"/>
                    <w:tr2bl w:val="nil"/>
                  </w:tcBorders>
                  <w:shd w:val="clear" w:color="auto" w:fill="auto"/>
                  <w:noWrap w:val="0"/>
                  <w:vAlign w:val="center"/>
                </w:tcPr>
                <w:p w14:paraId="3DBD53C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位置</w:t>
                  </w:r>
                </w:p>
              </w:tc>
              <w:tc>
                <w:tcPr>
                  <w:tcW w:w="993" w:type="pct"/>
                  <w:tcBorders>
                    <w:tl2br w:val="nil"/>
                    <w:tr2bl w:val="nil"/>
                  </w:tcBorders>
                  <w:shd w:val="clear" w:color="auto" w:fill="auto"/>
                  <w:noWrap w:val="0"/>
                  <w:vAlign w:val="center"/>
                </w:tcPr>
                <w:p w14:paraId="54622EC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用途</w:t>
                  </w:r>
                </w:p>
              </w:tc>
            </w:tr>
            <w:tr w14:paraId="3A1141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5734F29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49" w:type="pct"/>
                  <w:tcBorders>
                    <w:tl2br w:val="nil"/>
                    <w:tr2bl w:val="nil"/>
                  </w:tcBorders>
                  <w:shd w:val="clear" w:color="auto" w:fill="auto"/>
                  <w:noWrap w:val="0"/>
                  <w:vAlign w:val="center"/>
                </w:tcPr>
                <w:p w14:paraId="57BBC9D7">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搅拌机</w:t>
                  </w:r>
                </w:p>
              </w:tc>
              <w:tc>
                <w:tcPr>
                  <w:tcW w:w="946" w:type="pct"/>
                  <w:tcBorders>
                    <w:tl2br w:val="nil"/>
                    <w:tr2bl w:val="nil"/>
                  </w:tcBorders>
                  <w:shd w:val="clear" w:color="auto" w:fill="auto"/>
                  <w:noWrap w:val="0"/>
                  <w:vAlign w:val="center"/>
                </w:tcPr>
                <w:p w14:paraId="72F14236">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MAO4500</w:t>
                  </w:r>
                </w:p>
              </w:tc>
              <w:tc>
                <w:tcPr>
                  <w:tcW w:w="406" w:type="pct"/>
                  <w:tcBorders>
                    <w:tl2br w:val="nil"/>
                    <w:tr2bl w:val="nil"/>
                  </w:tcBorders>
                  <w:shd w:val="clear" w:color="auto" w:fill="auto"/>
                  <w:noWrap w:val="0"/>
                  <w:vAlign w:val="center"/>
                </w:tcPr>
                <w:p w14:paraId="38B76A8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05FCED4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1</w:t>
                  </w:r>
                </w:p>
              </w:tc>
              <w:tc>
                <w:tcPr>
                  <w:tcW w:w="991" w:type="pct"/>
                  <w:tcBorders>
                    <w:tl2br w:val="nil"/>
                    <w:tr2bl w:val="nil"/>
                  </w:tcBorders>
                  <w:shd w:val="clear" w:color="auto" w:fill="auto"/>
                  <w:noWrap w:val="0"/>
                  <w:vAlign w:val="center"/>
                </w:tcPr>
                <w:p w14:paraId="64E32053">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搅拌区</w:t>
                  </w:r>
                </w:p>
              </w:tc>
              <w:tc>
                <w:tcPr>
                  <w:tcW w:w="993" w:type="pct"/>
                  <w:tcBorders>
                    <w:tl2br w:val="nil"/>
                    <w:tr2bl w:val="nil"/>
                  </w:tcBorders>
                  <w:shd w:val="clear" w:color="auto" w:fill="auto"/>
                  <w:noWrap w:val="0"/>
                  <w:vAlign w:val="center"/>
                </w:tcPr>
                <w:p w14:paraId="4C70420E">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搅拌工序</w:t>
                  </w:r>
                </w:p>
              </w:tc>
            </w:tr>
            <w:tr w14:paraId="5105F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7DE8530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49" w:type="pct"/>
                  <w:tcBorders>
                    <w:tl2br w:val="nil"/>
                    <w:tr2bl w:val="nil"/>
                  </w:tcBorders>
                  <w:shd w:val="clear" w:color="auto" w:fill="auto"/>
                  <w:noWrap w:val="0"/>
                  <w:vAlign w:val="center"/>
                </w:tcPr>
                <w:p w14:paraId="21D24825">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装载机</w:t>
                  </w:r>
                </w:p>
              </w:tc>
              <w:tc>
                <w:tcPr>
                  <w:tcW w:w="946" w:type="pct"/>
                  <w:tcBorders>
                    <w:tl2br w:val="nil"/>
                    <w:tr2bl w:val="nil"/>
                  </w:tcBorders>
                  <w:shd w:val="clear" w:color="auto" w:fill="auto"/>
                  <w:noWrap w:val="0"/>
                  <w:vAlign w:val="center"/>
                </w:tcPr>
                <w:p w14:paraId="0A7DBBCB">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6" w:type="pct"/>
                  <w:tcBorders>
                    <w:tl2br w:val="nil"/>
                    <w:tr2bl w:val="nil"/>
                  </w:tcBorders>
                  <w:shd w:val="clear" w:color="auto" w:fill="auto"/>
                  <w:noWrap w:val="0"/>
                  <w:vAlign w:val="center"/>
                </w:tcPr>
                <w:p w14:paraId="3A88527E">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42A4B09C">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1</w:t>
                  </w:r>
                </w:p>
              </w:tc>
              <w:tc>
                <w:tcPr>
                  <w:tcW w:w="991" w:type="pct"/>
                  <w:tcBorders>
                    <w:tl2br w:val="nil"/>
                    <w:tr2bl w:val="nil"/>
                  </w:tcBorders>
                  <w:shd w:val="clear" w:color="auto" w:fill="auto"/>
                  <w:noWrap w:val="0"/>
                  <w:vAlign w:val="center"/>
                </w:tcPr>
                <w:p w14:paraId="5A2A2CF6">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砂石堆场</w:t>
                  </w:r>
                </w:p>
              </w:tc>
              <w:tc>
                <w:tcPr>
                  <w:tcW w:w="993" w:type="pct"/>
                  <w:tcBorders>
                    <w:tl2br w:val="nil"/>
                    <w:tr2bl w:val="nil"/>
                  </w:tcBorders>
                  <w:shd w:val="clear" w:color="auto" w:fill="auto"/>
                  <w:noWrap w:val="0"/>
                  <w:vAlign w:val="center"/>
                </w:tcPr>
                <w:p w14:paraId="40A42D22">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上料</w:t>
                  </w:r>
                </w:p>
              </w:tc>
            </w:tr>
            <w:tr w14:paraId="214B15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3325CB2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49" w:type="pct"/>
                  <w:tcBorders>
                    <w:tl2br w:val="nil"/>
                    <w:tr2bl w:val="nil"/>
                  </w:tcBorders>
                  <w:shd w:val="clear" w:color="auto" w:fill="auto"/>
                  <w:noWrap w:val="0"/>
                  <w:vAlign w:val="center"/>
                </w:tcPr>
                <w:p w14:paraId="4D48338F">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地磅</w:t>
                  </w:r>
                </w:p>
              </w:tc>
              <w:tc>
                <w:tcPr>
                  <w:tcW w:w="946" w:type="pct"/>
                  <w:tcBorders>
                    <w:tl2br w:val="nil"/>
                    <w:tr2bl w:val="nil"/>
                  </w:tcBorders>
                  <w:shd w:val="clear" w:color="auto" w:fill="auto"/>
                  <w:noWrap w:val="0"/>
                  <w:vAlign w:val="center"/>
                </w:tcPr>
                <w:p w14:paraId="35EC2615">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6" w:type="pct"/>
                  <w:tcBorders>
                    <w:tl2br w:val="nil"/>
                    <w:tr2bl w:val="nil"/>
                  </w:tcBorders>
                  <w:shd w:val="clear" w:color="auto" w:fill="auto"/>
                  <w:noWrap w:val="0"/>
                  <w:vAlign w:val="center"/>
                </w:tcPr>
                <w:p w14:paraId="2CC1204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64C280D3">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1</w:t>
                  </w:r>
                </w:p>
              </w:tc>
              <w:tc>
                <w:tcPr>
                  <w:tcW w:w="991" w:type="pct"/>
                  <w:tcBorders>
                    <w:tl2br w:val="nil"/>
                    <w:tr2bl w:val="nil"/>
                  </w:tcBorders>
                  <w:shd w:val="clear" w:color="auto" w:fill="auto"/>
                  <w:noWrap w:val="0"/>
                  <w:vAlign w:val="center"/>
                </w:tcPr>
                <w:p w14:paraId="7334C35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厂区入口</w:t>
                  </w:r>
                </w:p>
              </w:tc>
              <w:tc>
                <w:tcPr>
                  <w:tcW w:w="993" w:type="pct"/>
                  <w:tcBorders>
                    <w:tl2br w:val="nil"/>
                    <w:tr2bl w:val="nil"/>
                  </w:tcBorders>
                  <w:shd w:val="clear" w:color="auto" w:fill="auto"/>
                  <w:noWrap w:val="0"/>
                  <w:vAlign w:val="center"/>
                </w:tcPr>
                <w:p w14:paraId="4789A071">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原材料进厂</w:t>
                  </w:r>
                </w:p>
              </w:tc>
            </w:tr>
            <w:tr w14:paraId="44E5B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13882F9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49" w:type="pct"/>
                  <w:tcBorders>
                    <w:tl2br w:val="nil"/>
                    <w:tr2bl w:val="nil"/>
                  </w:tcBorders>
                  <w:shd w:val="clear" w:color="auto" w:fill="auto"/>
                  <w:noWrap w:val="0"/>
                  <w:vAlign w:val="center"/>
                </w:tcPr>
                <w:p w14:paraId="5733D922">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皮带输送机</w:t>
                  </w:r>
                </w:p>
              </w:tc>
              <w:tc>
                <w:tcPr>
                  <w:tcW w:w="946" w:type="pct"/>
                  <w:tcBorders>
                    <w:tl2br w:val="nil"/>
                    <w:tr2bl w:val="nil"/>
                  </w:tcBorders>
                  <w:shd w:val="clear" w:color="auto" w:fill="auto"/>
                  <w:noWrap w:val="0"/>
                  <w:vAlign w:val="center"/>
                </w:tcPr>
                <w:p w14:paraId="7E091DE9">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YX3-225，45KW</w:t>
                  </w:r>
                </w:p>
              </w:tc>
              <w:tc>
                <w:tcPr>
                  <w:tcW w:w="406" w:type="pct"/>
                  <w:tcBorders>
                    <w:tl2br w:val="nil"/>
                    <w:tr2bl w:val="nil"/>
                  </w:tcBorders>
                  <w:shd w:val="clear" w:color="auto" w:fill="auto"/>
                  <w:noWrap w:val="0"/>
                  <w:vAlign w:val="center"/>
                </w:tcPr>
                <w:p w14:paraId="26D47F3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7BC3EB8C">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1</w:t>
                  </w:r>
                </w:p>
              </w:tc>
              <w:tc>
                <w:tcPr>
                  <w:tcW w:w="991" w:type="pct"/>
                  <w:tcBorders>
                    <w:tl2br w:val="nil"/>
                    <w:tr2bl w:val="nil"/>
                  </w:tcBorders>
                  <w:shd w:val="clear" w:color="auto" w:fill="auto"/>
                  <w:noWrap w:val="0"/>
                  <w:vAlign w:val="center"/>
                </w:tcPr>
                <w:p w14:paraId="35846303">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搅拌区</w:t>
                  </w:r>
                </w:p>
              </w:tc>
              <w:tc>
                <w:tcPr>
                  <w:tcW w:w="993" w:type="pct"/>
                  <w:tcBorders>
                    <w:tl2br w:val="nil"/>
                    <w:tr2bl w:val="nil"/>
                  </w:tcBorders>
                  <w:shd w:val="clear" w:color="auto" w:fill="auto"/>
                  <w:noWrap w:val="0"/>
                  <w:vAlign w:val="center"/>
                </w:tcPr>
                <w:p w14:paraId="1C5335F8">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物料输送</w:t>
                  </w:r>
                </w:p>
              </w:tc>
            </w:tr>
            <w:tr w14:paraId="3A2C7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6F01FF0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49" w:type="pct"/>
                  <w:tcBorders>
                    <w:tl2br w:val="nil"/>
                    <w:tr2bl w:val="nil"/>
                  </w:tcBorders>
                  <w:shd w:val="clear" w:color="auto" w:fill="auto"/>
                  <w:noWrap w:val="0"/>
                  <w:vAlign w:val="center"/>
                </w:tcPr>
                <w:p w14:paraId="0B6938FD">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筒仓</w:t>
                  </w:r>
                </w:p>
              </w:tc>
              <w:tc>
                <w:tcPr>
                  <w:tcW w:w="946" w:type="pct"/>
                  <w:tcBorders>
                    <w:tl2br w:val="nil"/>
                    <w:tr2bl w:val="nil"/>
                  </w:tcBorders>
                  <w:shd w:val="clear" w:color="auto" w:fill="auto"/>
                  <w:noWrap w:val="0"/>
                  <w:vAlign w:val="center"/>
                </w:tcPr>
                <w:p w14:paraId="0A2F3C20">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150t</w:t>
                  </w:r>
                </w:p>
              </w:tc>
              <w:tc>
                <w:tcPr>
                  <w:tcW w:w="406" w:type="pct"/>
                  <w:tcBorders>
                    <w:tl2br w:val="nil"/>
                    <w:tr2bl w:val="nil"/>
                  </w:tcBorders>
                  <w:shd w:val="clear" w:color="auto" w:fill="auto"/>
                  <w:noWrap w:val="0"/>
                  <w:vAlign w:val="center"/>
                </w:tcPr>
                <w:p w14:paraId="67EA7BA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096A464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cs="Times New Roman"/>
                      <w:color w:val="000000" w:themeColor="text1"/>
                      <w:w w:val="100"/>
                      <w:sz w:val="21"/>
                      <w:szCs w:val="21"/>
                      <w:highlight w:val="none"/>
                      <w:lang w:val="en-US" w:eastAsia="zh-CN"/>
                      <w14:textFill>
                        <w14:solidFill>
                          <w14:schemeClr w14:val="tx1"/>
                        </w14:solidFill>
                      </w14:textFill>
                    </w:rPr>
                    <w:t>3</w:t>
                  </w:r>
                </w:p>
              </w:tc>
              <w:tc>
                <w:tcPr>
                  <w:tcW w:w="991" w:type="pct"/>
                  <w:tcBorders>
                    <w:tl2br w:val="nil"/>
                    <w:tr2bl w:val="nil"/>
                  </w:tcBorders>
                  <w:shd w:val="clear" w:color="auto" w:fill="auto"/>
                  <w:noWrap w:val="0"/>
                  <w:vAlign w:val="center"/>
                </w:tcPr>
                <w:p w14:paraId="10D9E4FC">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南侧筒仓</w:t>
                  </w:r>
                </w:p>
              </w:tc>
              <w:tc>
                <w:tcPr>
                  <w:tcW w:w="993" w:type="pct"/>
                  <w:tcBorders>
                    <w:tl2br w:val="nil"/>
                    <w:tr2bl w:val="nil"/>
                  </w:tcBorders>
                  <w:shd w:val="clear" w:color="auto" w:fill="auto"/>
                  <w:noWrap w:val="0"/>
                  <w:vAlign w:val="center"/>
                </w:tcPr>
                <w:p w14:paraId="7F6BE29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粉状</w:t>
                  </w: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原料暂存</w:t>
                  </w:r>
                </w:p>
              </w:tc>
            </w:tr>
            <w:tr w14:paraId="75339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3592303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849" w:type="pct"/>
                  <w:tcBorders>
                    <w:tl2br w:val="nil"/>
                    <w:tr2bl w:val="nil"/>
                  </w:tcBorders>
                  <w:shd w:val="clear" w:color="auto" w:fill="auto"/>
                  <w:noWrap w:val="0"/>
                  <w:vAlign w:val="center"/>
                </w:tcPr>
                <w:p w14:paraId="2100C051">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配料斗</w:t>
                  </w:r>
                </w:p>
              </w:tc>
              <w:tc>
                <w:tcPr>
                  <w:tcW w:w="946" w:type="pct"/>
                  <w:tcBorders>
                    <w:tl2br w:val="nil"/>
                    <w:tr2bl w:val="nil"/>
                  </w:tcBorders>
                  <w:shd w:val="clear" w:color="auto" w:fill="auto"/>
                  <w:noWrap w:val="0"/>
                  <w:vAlign w:val="center"/>
                </w:tcPr>
                <w:p w14:paraId="382B1F78">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6" w:type="pct"/>
                  <w:tcBorders>
                    <w:tl2br w:val="nil"/>
                    <w:tr2bl w:val="nil"/>
                  </w:tcBorders>
                  <w:shd w:val="clear" w:color="auto" w:fill="auto"/>
                  <w:noWrap w:val="0"/>
                  <w:vAlign w:val="center"/>
                </w:tcPr>
                <w:p w14:paraId="000F204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7A47DD25">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4</w:t>
                  </w:r>
                </w:p>
              </w:tc>
              <w:tc>
                <w:tcPr>
                  <w:tcW w:w="991" w:type="pct"/>
                  <w:tcBorders>
                    <w:tl2br w:val="nil"/>
                    <w:tr2bl w:val="nil"/>
                  </w:tcBorders>
                  <w:shd w:val="clear" w:color="auto" w:fill="auto"/>
                  <w:noWrap w:val="0"/>
                  <w:vAlign w:val="center"/>
                </w:tcPr>
                <w:p w14:paraId="4C547EE6">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搅拌区</w:t>
                  </w:r>
                </w:p>
              </w:tc>
              <w:tc>
                <w:tcPr>
                  <w:tcW w:w="993" w:type="pct"/>
                  <w:tcBorders>
                    <w:tl2br w:val="nil"/>
                    <w:tr2bl w:val="nil"/>
                  </w:tcBorders>
                  <w:shd w:val="clear" w:color="auto" w:fill="auto"/>
                  <w:noWrap w:val="0"/>
                  <w:vAlign w:val="center"/>
                </w:tcPr>
                <w:p w14:paraId="275980B6">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称量上料</w:t>
                  </w:r>
                </w:p>
              </w:tc>
            </w:tr>
            <w:tr w14:paraId="6C333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16154EB3">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849" w:type="pct"/>
                  <w:tcBorders>
                    <w:tl2br w:val="nil"/>
                    <w:tr2bl w:val="nil"/>
                  </w:tcBorders>
                  <w:shd w:val="clear" w:color="auto" w:fill="auto"/>
                  <w:noWrap w:val="0"/>
                  <w:vAlign w:val="center"/>
                </w:tcPr>
                <w:p w14:paraId="7C7D3C8E">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除尘器</w:t>
                  </w:r>
                </w:p>
              </w:tc>
              <w:tc>
                <w:tcPr>
                  <w:tcW w:w="946" w:type="pct"/>
                  <w:tcBorders>
                    <w:tl2br w:val="nil"/>
                    <w:tr2bl w:val="nil"/>
                  </w:tcBorders>
                  <w:shd w:val="clear" w:color="auto" w:fill="auto"/>
                  <w:noWrap w:val="0"/>
                  <w:vAlign w:val="center"/>
                </w:tcPr>
                <w:p w14:paraId="2F97E938">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6" w:type="pct"/>
                  <w:tcBorders>
                    <w:tl2br w:val="nil"/>
                    <w:tr2bl w:val="nil"/>
                  </w:tcBorders>
                  <w:shd w:val="clear" w:color="auto" w:fill="auto"/>
                  <w:noWrap w:val="0"/>
                  <w:vAlign w:val="center"/>
                </w:tcPr>
                <w:p w14:paraId="730E597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6916F65B">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cs="Times New Roman"/>
                      <w:color w:val="000000" w:themeColor="text1"/>
                      <w:w w:val="100"/>
                      <w:sz w:val="21"/>
                      <w:szCs w:val="21"/>
                      <w:highlight w:val="none"/>
                      <w:lang w:val="en-US" w:eastAsia="zh-CN"/>
                      <w14:textFill>
                        <w14:solidFill>
                          <w14:schemeClr w14:val="tx1"/>
                        </w14:solidFill>
                      </w14:textFill>
                    </w:rPr>
                    <w:t>4</w:t>
                  </w:r>
                </w:p>
              </w:tc>
              <w:tc>
                <w:tcPr>
                  <w:tcW w:w="991" w:type="pct"/>
                  <w:tcBorders>
                    <w:tl2br w:val="nil"/>
                    <w:tr2bl w:val="nil"/>
                  </w:tcBorders>
                  <w:shd w:val="clear" w:color="auto" w:fill="auto"/>
                  <w:noWrap w:val="0"/>
                  <w:vAlign w:val="center"/>
                </w:tcPr>
                <w:p w14:paraId="001E877C">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搅拌区、筒仓</w:t>
                  </w:r>
                </w:p>
              </w:tc>
              <w:tc>
                <w:tcPr>
                  <w:tcW w:w="993" w:type="pct"/>
                  <w:tcBorders>
                    <w:tl2br w:val="nil"/>
                    <w:tr2bl w:val="nil"/>
                  </w:tcBorders>
                  <w:shd w:val="clear" w:color="auto" w:fill="auto"/>
                  <w:noWrap w:val="0"/>
                  <w:vAlign w:val="center"/>
                </w:tcPr>
                <w:p w14:paraId="19FDD6EE">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废气处理</w:t>
                  </w:r>
                </w:p>
              </w:tc>
            </w:tr>
            <w:tr w14:paraId="74370D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6" w:type="pct"/>
                  <w:tcBorders>
                    <w:tl2br w:val="nil"/>
                    <w:tr2bl w:val="nil"/>
                  </w:tcBorders>
                  <w:shd w:val="clear" w:color="auto" w:fill="auto"/>
                  <w:noWrap w:val="0"/>
                  <w:vAlign w:val="center"/>
                </w:tcPr>
                <w:p w14:paraId="2947725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849" w:type="pct"/>
                  <w:tcBorders>
                    <w:tl2br w:val="nil"/>
                    <w:tr2bl w:val="nil"/>
                  </w:tcBorders>
                  <w:shd w:val="clear" w:color="auto" w:fill="auto"/>
                  <w:noWrap w:val="0"/>
                  <w:vAlign w:val="center"/>
                </w:tcPr>
                <w:p w14:paraId="64508A7C">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风机</w:t>
                  </w:r>
                </w:p>
              </w:tc>
              <w:tc>
                <w:tcPr>
                  <w:tcW w:w="946" w:type="pct"/>
                  <w:tcBorders>
                    <w:tl2br w:val="nil"/>
                    <w:tr2bl w:val="nil"/>
                  </w:tcBorders>
                  <w:shd w:val="clear" w:color="auto" w:fill="auto"/>
                  <w:noWrap w:val="0"/>
                  <w:vAlign w:val="center"/>
                </w:tcPr>
                <w:p w14:paraId="30F79AAB">
                  <w:pPr>
                    <w:keepNext w:val="0"/>
                    <w:keepLines w:val="0"/>
                    <w:pageBreakBefore w:val="0"/>
                    <w:widowControl/>
                    <w:kinsoku/>
                    <w:wordWrap/>
                    <w:overflowPunct/>
                    <w:topLinePunct w:val="0"/>
                    <w:autoSpaceDE/>
                    <w:autoSpaceDN/>
                    <w:bidi w:val="0"/>
                    <w:adjustRightInd/>
                    <w:snapToGrid/>
                    <w:spacing w:before="157" w:beforeLines="50" w:afterLines="0" w:line="36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6" w:type="pct"/>
                  <w:tcBorders>
                    <w:tl2br w:val="nil"/>
                    <w:tr2bl w:val="nil"/>
                  </w:tcBorders>
                  <w:shd w:val="clear" w:color="auto" w:fill="auto"/>
                  <w:noWrap w:val="0"/>
                  <w:vAlign w:val="center"/>
                </w:tcPr>
                <w:p w14:paraId="7F20239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个</w:t>
                  </w:r>
                </w:p>
              </w:tc>
              <w:tc>
                <w:tcPr>
                  <w:tcW w:w="406" w:type="pct"/>
                  <w:tcBorders>
                    <w:tl2br w:val="nil"/>
                    <w:tr2bl w:val="nil"/>
                  </w:tcBorders>
                  <w:shd w:val="clear" w:color="auto" w:fill="auto"/>
                  <w:noWrap w:val="0"/>
                  <w:vAlign w:val="center"/>
                </w:tcPr>
                <w:p w14:paraId="16F5F2A7">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rPr>
                    <w:t>4</w:t>
                  </w:r>
                </w:p>
              </w:tc>
              <w:tc>
                <w:tcPr>
                  <w:tcW w:w="991" w:type="pct"/>
                  <w:tcBorders>
                    <w:tl2br w:val="nil"/>
                    <w:tr2bl w:val="nil"/>
                  </w:tcBorders>
                  <w:shd w:val="clear" w:color="auto" w:fill="auto"/>
                  <w:noWrap w:val="0"/>
                  <w:vAlign w:val="center"/>
                </w:tcPr>
                <w:p w14:paraId="1A2E761F">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搅拌区、筒仓</w:t>
                  </w:r>
                </w:p>
              </w:tc>
              <w:tc>
                <w:tcPr>
                  <w:tcW w:w="993" w:type="pct"/>
                  <w:tcBorders>
                    <w:tl2br w:val="nil"/>
                    <w:tr2bl w:val="nil"/>
                  </w:tcBorders>
                  <w:shd w:val="clear" w:color="auto" w:fill="auto"/>
                  <w:noWrap w:val="0"/>
                  <w:vAlign w:val="center"/>
                </w:tcPr>
                <w:p w14:paraId="32B02786">
                  <w:pPr>
                    <w:pStyle w:val="8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rPr>
                    <w:t>废气处理</w:t>
                  </w:r>
                </w:p>
              </w:tc>
            </w:tr>
          </w:tbl>
          <w:p w14:paraId="0EB1E6B2">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本项目主要工艺设备选型以能保证产品质量和符合用户要求为前提，选用国内成熟的拌和站。根据《高耗能落后机电设备淘汰目录》，本项目生产设备中没有淘汰类中明令淘汰的机械设备。</w:t>
            </w:r>
          </w:p>
          <w:p w14:paraId="5BBE8F2C">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工作制度及劳动定员</w:t>
            </w:r>
          </w:p>
          <w:p w14:paraId="79B85808">
            <w:pPr>
              <w:keepNext w:val="0"/>
              <w:keepLines w:val="0"/>
              <w:pageBreakBefore w:val="0"/>
              <w:widowControl w:val="0"/>
              <w:numPr>
                <w:ilvl w:val="0"/>
                <w:numId w:val="0"/>
              </w:numPr>
              <w:kinsoku/>
              <w:wordWrap/>
              <w:overflowPunct/>
              <w:bidi w:val="0"/>
              <w:adjustRightInd/>
              <w:snapToGrid/>
              <w:spacing w:beforeLines="0" w:beforeAutospacing="0" w:afterLines="0" w:afterAutospacing="0" w:line="360" w:lineRule="auto"/>
              <w:ind w:left="0" w:leftChars="0"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6人</w:t>
            </w:r>
            <w:r>
              <w:rPr>
                <w:rFonts w:hint="default" w:ascii="Times New Roman" w:hAnsi="Times New Roman" w:eastAsia="宋体" w:cs="Times New Roman"/>
                <w:color w:val="000000" w:themeColor="text1"/>
                <w:sz w:val="24"/>
                <w:szCs w:val="24"/>
                <w:highlight w:val="none"/>
                <w14:textFill>
                  <w14:solidFill>
                    <w14:schemeClr w14:val="tx1"/>
                  </w14:solidFill>
                </w14:textFill>
              </w:rPr>
              <w:t>劳动人员，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项目完成后，全厂</w:t>
            </w:r>
            <w:r>
              <w:rPr>
                <w:rFonts w:hint="default" w:ascii="Times New Roman" w:hAnsi="Times New Roman" w:eastAsia="宋体" w:cs="Times New Roman"/>
                <w:color w:val="000000" w:themeColor="text1"/>
                <w:sz w:val="24"/>
                <w:szCs w:val="24"/>
                <w:highlight w:val="none"/>
                <w14:textFill>
                  <w14:solidFill>
                    <w14:schemeClr w14:val="tx1"/>
                  </w14:solidFill>
                </w14:textFill>
              </w:rPr>
              <w:t>实行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班制，每班工作8h，年工作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highlight w:val="none"/>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仅昼间生产。</w:t>
            </w:r>
          </w:p>
          <w:p w14:paraId="1C655171">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bCs w:val="0"/>
                <w:color w:val="000000" w:themeColor="text1"/>
                <w:spacing w:val="0"/>
                <w:kern w:val="21"/>
                <w:position w:val="0"/>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公用工程及辅助设施</w:t>
            </w:r>
          </w:p>
          <w:p w14:paraId="7C14052A">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textAlignment w:val="auto"/>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t>给排水：</w:t>
            </w:r>
          </w:p>
          <w:p w14:paraId="0F6A7CF7">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14:textFill>
                  <w14:solidFill>
                    <w14:schemeClr w14:val="tx1"/>
                  </w14:solidFill>
                </w14:textFill>
              </w:rPr>
              <w:t>项目用水主要为办公生活用水、食堂用水、产品配比用水、成品罐车清洗用水、运输车辆轮胎冲洗用水、搅拌设备清洗用水、地面冲洗用水、喷雾用水、洒水用水。项目厂区内采用雨污分流排水系统。</w:t>
            </w:r>
          </w:p>
          <w:p w14:paraId="1EEB2764">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办公生活用水</w:t>
            </w:r>
          </w:p>
          <w:p w14:paraId="5FCA9284">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本项目劳动定员为</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人，年工作时间为</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3</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天，根据四川省人民政府关于印发《四川省用水定额》的通知（川府函〔2021〕8号），并结合建设单位提供的资料，用水定额按</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120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L/人·d计，用水量为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0.72</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216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m³/a），排水系数按0.85计，员工生活污水产生量为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0.612</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183.6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w:t>
            </w:r>
          </w:p>
          <w:p w14:paraId="39B3E839">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食堂用水</w:t>
            </w:r>
          </w:p>
          <w:p w14:paraId="556A7AE1">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项目设有职工食堂，每天供应三餐。根据《四川省用水定额》川府函〔2021〕8号及《建筑给水排水设计规范》（GB500，职工食堂用水定额按每人每餐25L计算，则每人每天用水量为0.075m³/人·d，项目食堂就餐人数</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人，则项目食堂用水量为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0.45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135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m³/a），污水产生系数按85%计，则本项目食堂废水产生量为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0.3825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144.75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w:t>
            </w:r>
          </w:p>
          <w:p w14:paraId="39AF1E40">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）产品配比用水</w:t>
            </w:r>
          </w:p>
          <w:p w14:paraId="4097C7B7">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本项目混凝土</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拌和</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需加入水，根据</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建设单位</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提供的用水配比，本项目混凝土用水系数约为120~140kg/</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-原料，本项目取1</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0kg/</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，项目原料用量约为</w:t>
            </w:r>
            <w:r>
              <w:rPr>
                <w:rFonts w:hint="eastAsia" w:cs="Times New Roman"/>
                <w:color w:val="000000" w:themeColor="text1"/>
                <w:kern w:val="21"/>
                <w:sz w:val="24"/>
                <w:szCs w:val="24"/>
                <w:highlight w:val="none"/>
                <w:lang w:val="en-US" w:eastAsia="zh-CN"/>
                <w14:textFill>
                  <w14:solidFill>
                    <w14:schemeClr w14:val="tx1"/>
                  </w14:solidFill>
                </w14:textFill>
              </w:rPr>
              <w:t>480231.97</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t（约</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200833</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），则生产用水量为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26108</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，平均</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每天</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用水量为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87</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/d。项目产品配比用水全部进入最终产品中，不外排。</w:t>
            </w:r>
          </w:p>
          <w:p w14:paraId="0E2F0F8E">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4）车辆清洗用水</w:t>
            </w:r>
          </w:p>
          <w:p w14:paraId="79604630">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成品罐车清洗用水</w:t>
            </w:r>
          </w:p>
          <w:p w14:paraId="3E4B751B">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本项目产品年产量为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480000</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t，生产天数为300天，产品每日生产量为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1600</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t，项目使用的混凝土罐车规格均为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t/辆次，则混凝土罐车日最大运输量约为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辆次/d，全年为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9600</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辆次。每次均需对运输车辆储罐进行冲洗，根据建设单位经验资料，车辆储罐冲洗水量约0.3m³/辆次，因此每天车辆储罐冲洗用水量最大约为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9.6</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m³/d，损失率按15%计，车辆冲洗废水产生量为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8.16</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m³/d，</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2448</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m³/a。</w:t>
            </w:r>
          </w:p>
          <w:p w14:paraId="6BD0A802">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运输车辆轮胎冲洗用水</w:t>
            </w:r>
          </w:p>
          <w:p w14:paraId="04C6687D">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本项目主要对进出厂区的原料运输车辆及成品运输车辆轮胎进行冲洗，本项目采用一般运输车辆的运输总量约为</w:t>
            </w:r>
            <w:r>
              <w:rPr>
                <w:rFonts w:hint="eastAsia" w:cs="Times New Roman"/>
                <w:color w:val="000000" w:themeColor="text1"/>
                <w:kern w:val="21"/>
                <w:sz w:val="24"/>
                <w:szCs w:val="24"/>
                <w:highlight w:val="none"/>
                <w:lang w:eastAsia="zh-CN"/>
                <w14:textFill>
                  <w14:solidFill>
                    <w14:schemeClr w14:val="tx1"/>
                  </w14:solidFill>
                </w14:textFill>
              </w:rPr>
              <w:t>342131.97</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t（砂、石），原料罐车运输总量为</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110000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t（水泥、粉煤灰），项目砂石原料运输车辆载重为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t/辆次，水泥、粉煤灰罐车运输载重约为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t/辆次，则原料车辆、水泥、粉煤灰罐车运输量次平均约为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辆次/d，冲洗次数约为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次/d。项目使用的混凝土罐车规格均为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t/辆次</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，产品年产量为</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480000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t，则混凝土罐车日最大运输量约为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辆次/d，冲洗次数约为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次/d，</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根据项目</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行业</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经验资料，车辆轮胎冲洗水量约0.0</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/辆次，因此每天车辆轮胎冲洗用水量最大约为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0.69</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207</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），损失率按15%计，车辆冲洗废水产生量为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0.59</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/d，总产生量约为</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175.95</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m³/a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p>
          <w:p w14:paraId="0603E98B">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）搅拌设备清洗用水</w:t>
            </w:r>
          </w:p>
          <w:p w14:paraId="2C1714F9">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本项目设置有搅拌机，搅拌机在暂时停止生产时需进行冲洗，本项目搅拌机平均每1天冲洗一次，根据</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行业经验</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资料，项目设备每次冲洗用水总量约为2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生产天数为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天，则项目设备清洗用水量为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600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，损失率按15%计，则设备冲洗废水为1.7</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产生量约为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510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p>
          <w:p w14:paraId="73D91FCF">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）地面冲洗用水</w:t>
            </w:r>
          </w:p>
          <w:p w14:paraId="201268BE">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本项目会定期对搅拌生产区地面进行冲洗，根据建设单位</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提供的</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资料，地面冲洗用水量约为2~3L/</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，本项目地面冲洗用水按3L/</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计，搅拌工作区面积约300</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，项目每天均进行冲洗，因此该部分冲洗用水量为0.9</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270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）。排放系数按0.85计，则废水产生量0.765</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/d，废水产生量约为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229.5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p>
          <w:p w14:paraId="2C3A59DA">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7）抑尘用水</w:t>
            </w:r>
          </w:p>
          <w:p w14:paraId="38A7263D">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喷雾用水</w:t>
            </w:r>
          </w:p>
          <w:p w14:paraId="6AAF766F">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本项目在厂区内、料场等设有雾装置，对项目堆场、卸料等进行喷雾降尘，根据建设单位提供的资料，项目喷雾用水量约为2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600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），喷雾水全部蒸发损耗，此过程无生产废水产生。</w:t>
            </w:r>
          </w:p>
          <w:p w14:paraId="7E14FFB8">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洒水用水</w:t>
            </w:r>
          </w:p>
          <w:p w14:paraId="6D2EB442">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为减少扬尘产生量，建设单位定期使用洒水车及人工洒水对厂区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道路</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进行洒水，项目洒水道路长度约150m，平均宽度约4m，防尘用水标准：1.5L/</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·次，每天洒水4~6次（本报告取5次），则洒水用水总量为4.5</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1350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），此过程洒水蒸发损耗，无废水产生。</w:t>
            </w:r>
          </w:p>
          <w:p w14:paraId="3D7B8F23">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kern w:val="2"/>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2"/>
                <w:position w:val="0"/>
                <w:sz w:val="24"/>
                <w:szCs w:val="24"/>
                <w:highlight w:val="none"/>
                <w14:textFill>
                  <w14:solidFill>
                    <w14:schemeClr w14:val="tx1"/>
                  </w14:solidFill>
                </w14:textFill>
              </w:rPr>
              <w:t>供电</w:t>
            </w:r>
            <w:r>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t>用电由</w:t>
            </w:r>
            <w:r>
              <w:rPr>
                <w:rFonts w:hint="default" w:ascii="Times New Roman" w:hAnsi="Times New Roman" w:eastAsia="宋体" w:cs="Times New Roman"/>
                <w:color w:val="000000" w:themeColor="text1"/>
                <w:spacing w:val="0"/>
                <w:kern w:val="21"/>
                <w:position w:val="0"/>
                <w:sz w:val="24"/>
                <w:szCs w:val="24"/>
                <w:highlight w:val="none"/>
                <w:lang w:eastAsia="zh-CN"/>
                <w14:textFill>
                  <w14:solidFill>
                    <w14:schemeClr w14:val="tx1"/>
                  </w14:solidFill>
                </w14:textFill>
              </w:rPr>
              <w:t>当地</w:t>
            </w:r>
            <w:r>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供电</w:t>
            </w:r>
            <w:r>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t>系统</w:t>
            </w:r>
            <w:r>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提供</w:t>
            </w:r>
            <w:r>
              <w:rPr>
                <w:rFonts w:hint="default" w:ascii="Times New Roman" w:hAnsi="Times New Roman" w:eastAsia="宋体" w:cs="Times New Roman"/>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年用电量为</w:t>
            </w:r>
            <w:r>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万kW·h</w:t>
            </w:r>
            <w:r>
              <w:rPr>
                <w:rFonts w:hint="default" w:ascii="Times New Roman" w:hAnsi="Times New Roman" w:eastAsia="宋体" w:cs="Times New Roman"/>
                <w:color w:val="000000" w:themeColor="text1"/>
                <w:spacing w:val="0"/>
                <w:kern w:val="21"/>
                <w:position w:val="0"/>
                <w:sz w:val="24"/>
                <w:szCs w:val="24"/>
                <w:highlight w:val="none"/>
                <w:u w:val="none" w:color="auto"/>
                <w14:textFill>
                  <w14:solidFill>
                    <w14:schemeClr w14:val="tx1"/>
                  </w14:solidFill>
                </w14:textFill>
              </w:rPr>
              <w:t>。</w:t>
            </w:r>
          </w:p>
          <w:p w14:paraId="7C13543F">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9、物料平衡、水平衡</w:t>
            </w:r>
          </w:p>
          <w:p w14:paraId="5F7BFFB9">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本项目用水量见下表。</w:t>
            </w:r>
          </w:p>
          <w:p w14:paraId="54065588">
            <w:pPr>
              <w:pStyle w:val="30"/>
              <w:numPr>
                <w:ilvl w:val="0"/>
                <w:numId w:val="0"/>
              </w:numPr>
              <w:tabs>
                <w:tab w:val="left" w:pos="987"/>
              </w:tabs>
              <w:spacing w:before="0" w:beforeLines="0" w:beforeAutospacing="0" w:after="0" w:afterLines="0" w:afterAutospacing="0"/>
              <w:ind w:left="0"/>
              <w:jc w:val="cente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项目用水</w:t>
            </w: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排水</w:t>
            </w: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量估算表</w:t>
            </w: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479"/>
              <w:gridCol w:w="1081"/>
              <w:gridCol w:w="462"/>
              <w:gridCol w:w="719"/>
              <w:gridCol w:w="876"/>
              <w:gridCol w:w="914"/>
              <w:gridCol w:w="876"/>
              <w:gridCol w:w="1138"/>
              <w:gridCol w:w="876"/>
            </w:tblGrid>
            <w:tr w14:paraId="3C5A0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541ED23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99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772CA3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用水类型</w:t>
                  </w:r>
                </w:p>
              </w:tc>
              <w:tc>
                <w:tcPr>
                  <w:tcW w:w="2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88F03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规模</w:t>
                  </w:r>
                </w:p>
              </w:tc>
              <w:tc>
                <w:tcPr>
                  <w:tcW w:w="4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060B8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用水规格</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2D271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日用水量（</w:t>
                  </w:r>
                  <w:r>
                    <w:rPr>
                      <w:rStyle w:val="108"/>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m³</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0BD2D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日废水产生量（</w:t>
                  </w:r>
                  <w:r>
                    <w:rPr>
                      <w:rStyle w:val="108"/>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m³</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15641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回</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用水量（</w:t>
                  </w:r>
                  <w:r>
                    <w:rPr>
                      <w:rStyle w:val="108"/>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m³</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C157A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日排水量（</w:t>
                  </w:r>
                  <w:r>
                    <w:rPr>
                      <w:rStyle w:val="108"/>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m³</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24B2B4C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日</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补充新鲜水量（</w:t>
                  </w:r>
                  <w:r>
                    <w:rPr>
                      <w:rStyle w:val="108"/>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m³</w:t>
                  </w:r>
                  <w:r>
                    <w:rPr>
                      <w:rStyle w:val="93"/>
                      <w:rFonts w:ascii="Times New Roman" w:hAnsi="Times New Roman" w:cs="Times New Roman"/>
                      <w:b/>
                      <w:bCs/>
                      <w:color w:val="000000" w:themeColor="text1"/>
                      <w:sz w:val="21"/>
                      <w:szCs w:val="21"/>
                      <w:highlight w:val="none"/>
                      <w:lang w:val="en-US" w:eastAsia="zh-CN" w:bidi="ar"/>
                      <w14:textFill>
                        <w14:solidFill>
                          <w14:schemeClr w14:val="tx1"/>
                        </w14:solidFill>
                      </w14:textFill>
                    </w:rPr>
                    <w:t>）</w:t>
                  </w:r>
                </w:p>
              </w:tc>
            </w:tr>
            <w:tr w14:paraId="7A510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70" w:type="pct"/>
                  <w:tcBorders>
                    <w:top w:val="nil"/>
                    <w:left w:val="nil"/>
                    <w:bottom w:val="single" w:color="000000" w:sz="8" w:space="0"/>
                    <w:right w:val="single" w:color="000000" w:sz="8" w:space="0"/>
                  </w:tcBorders>
                  <w:shd w:val="clear" w:color="auto" w:fill="auto"/>
                  <w:vAlign w:val="center"/>
                </w:tcPr>
                <w:p w14:paraId="1297662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997" w:type="pct"/>
                  <w:gridSpan w:val="2"/>
                  <w:tcBorders>
                    <w:top w:val="nil"/>
                    <w:left w:val="single" w:color="000000" w:sz="8" w:space="0"/>
                    <w:bottom w:val="single" w:color="000000" w:sz="8" w:space="0"/>
                    <w:right w:val="single" w:color="000000" w:sz="8" w:space="0"/>
                  </w:tcBorders>
                  <w:shd w:val="clear" w:color="auto" w:fill="auto"/>
                  <w:vAlign w:val="center"/>
                </w:tcPr>
                <w:p w14:paraId="102D321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办公生活用水</w:t>
                  </w:r>
                </w:p>
              </w:tc>
              <w:tc>
                <w:tcPr>
                  <w:tcW w:w="296" w:type="pct"/>
                  <w:tcBorders>
                    <w:top w:val="nil"/>
                    <w:left w:val="single" w:color="000000" w:sz="8" w:space="0"/>
                    <w:bottom w:val="single" w:color="000000" w:sz="8" w:space="0"/>
                    <w:right w:val="single" w:color="000000" w:sz="8" w:space="0"/>
                  </w:tcBorders>
                  <w:shd w:val="clear" w:color="auto" w:fill="auto"/>
                  <w:vAlign w:val="center"/>
                </w:tcPr>
                <w:p w14:paraId="1575297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人</w:t>
                  </w:r>
                </w:p>
              </w:tc>
              <w:tc>
                <w:tcPr>
                  <w:tcW w:w="455" w:type="pct"/>
                  <w:tcBorders>
                    <w:top w:val="nil"/>
                    <w:left w:val="single" w:color="000000" w:sz="8" w:space="0"/>
                    <w:bottom w:val="single" w:color="000000" w:sz="8" w:space="0"/>
                    <w:right w:val="single" w:color="000000" w:sz="8" w:space="0"/>
                  </w:tcBorders>
                  <w:shd w:val="clear" w:color="auto" w:fill="auto"/>
                  <w:vAlign w:val="center"/>
                </w:tcPr>
                <w:p w14:paraId="5E85CB0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120L/</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人</w:t>
                  </w:r>
                  <w:r>
                    <w:rPr>
                      <w:rStyle w:val="110"/>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·d</w:t>
                  </w:r>
                </w:p>
              </w:tc>
              <w:tc>
                <w:tcPr>
                  <w:tcW w:w="555" w:type="pct"/>
                  <w:tcBorders>
                    <w:top w:val="nil"/>
                    <w:left w:val="single" w:color="000000" w:sz="8" w:space="0"/>
                    <w:bottom w:val="single" w:color="000000" w:sz="8" w:space="0"/>
                    <w:right w:val="single" w:color="000000" w:sz="8" w:space="0"/>
                  </w:tcBorders>
                  <w:shd w:val="clear" w:color="auto" w:fill="auto"/>
                  <w:vAlign w:val="center"/>
                </w:tcPr>
                <w:p w14:paraId="4EB66C4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c>
                <w:tcPr>
                  <w:tcW w:w="583" w:type="pct"/>
                  <w:tcBorders>
                    <w:top w:val="nil"/>
                    <w:left w:val="single" w:color="000000" w:sz="8" w:space="0"/>
                    <w:bottom w:val="single" w:color="000000" w:sz="8" w:space="0"/>
                    <w:right w:val="single" w:color="000000" w:sz="8" w:space="0"/>
                  </w:tcBorders>
                  <w:shd w:val="clear" w:color="auto" w:fill="auto"/>
                  <w:vAlign w:val="center"/>
                </w:tcPr>
                <w:p w14:paraId="0E76172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0.612</w:t>
                  </w:r>
                </w:p>
              </w:tc>
              <w:tc>
                <w:tcPr>
                  <w:tcW w:w="555" w:type="pct"/>
                  <w:tcBorders>
                    <w:top w:val="nil"/>
                    <w:left w:val="single" w:color="000000" w:sz="8" w:space="0"/>
                    <w:bottom w:val="single" w:color="000000" w:sz="8" w:space="0"/>
                    <w:right w:val="single" w:color="000000" w:sz="8" w:space="0"/>
                  </w:tcBorders>
                  <w:shd w:val="clear" w:color="auto" w:fill="auto"/>
                  <w:vAlign w:val="center"/>
                </w:tcPr>
                <w:p w14:paraId="54AB904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nil"/>
                    <w:left w:val="single" w:color="000000" w:sz="8" w:space="0"/>
                    <w:bottom w:val="single" w:color="000000" w:sz="8" w:space="0"/>
                    <w:right w:val="single" w:color="000000" w:sz="8" w:space="0"/>
                  </w:tcBorders>
                  <w:shd w:val="clear" w:color="auto" w:fill="auto"/>
                  <w:vAlign w:val="center"/>
                </w:tcPr>
                <w:p w14:paraId="44CD4A1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0.612</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w:t>
                  </w:r>
                  <w:r>
                    <w:rPr>
                      <w:rStyle w:val="109"/>
                      <w:rFonts w:hint="eastAsia" w:cs="Times New Roman"/>
                      <w:color w:val="000000" w:themeColor="text1"/>
                      <w:sz w:val="21"/>
                      <w:szCs w:val="21"/>
                      <w:highlight w:val="none"/>
                      <w:lang w:val="en-US" w:eastAsia="zh-CN" w:bidi="ar"/>
                      <w14:textFill>
                        <w14:solidFill>
                          <w14:schemeClr w14:val="tx1"/>
                        </w14:solidFill>
                      </w14:textFill>
                    </w:rPr>
                    <w:t>进入甘孜县县城污水处理厂</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w:t>
                  </w:r>
                </w:p>
              </w:tc>
              <w:tc>
                <w:tcPr>
                  <w:tcW w:w="556" w:type="pct"/>
                  <w:tcBorders>
                    <w:top w:val="nil"/>
                    <w:left w:val="single" w:color="000000" w:sz="8" w:space="0"/>
                    <w:bottom w:val="single" w:color="000000" w:sz="8" w:space="0"/>
                    <w:right w:val="nil"/>
                  </w:tcBorders>
                  <w:shd w:val="clear" w:color="auto" w:fill="auto"/>
                  <w:vAlign w:val="center"/>
                </w:tcPr>
                <w:p w14:paraId="149CD51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w:t>
                  </w:r>
                </w:p>
              </w:tc>
            </w:tr>
            <w:tr w14:paraId="70C0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0BC4A87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99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585AE3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食堂用水</w:t>
                  </w:r>
                </w:p>
              </w:tc>
              <w:tc>
                <w:tcPr>
                  <w:tcW w:w="2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F3A9E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人</w:t>
                  </w:r>
                </w:p>
              </w:tc>
              <w:tc>
                <w:tcPr>
                  <w:tcW w:w="4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18841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w:t>
                  </w:r>
                  <w:r>
                    <w:rPr>
                      <w:rStyle w:val="110"/>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L/</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人</w:t>
                  </w:r>
                  <w:r>
                    <w:rPr>
                      <w:rStyle w:val="110"/>
                      <w:rFonts w:ascii="Times New Roman" w:hAnsi="Times New Roman" w:eastAsia="宋体" w:cs="Times New Roman"/>
                      <w:color w:val="000000" w:themeColor="text1"/>
                      <w:sz w:val="21"/>
                      <w:szCs w:val="21"/>
                      <w:highlight w:val="none"/>
                      <w:lang w:val="en-US" w:eastAsia="zh-CN" w:bidi="ar"/>
                      <w14:textFill>
                        <w14:solidFill>
                          <w14:schemeClr w14:val="tx1"/>
                        </w14:solidFill>
                      </w14:textFill>
                    </w:rPr>
                    <w:t>·d</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8D1D9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0.45</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010815">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0.3825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5F073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12B71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0.3825</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（进入甘孜县县城污水处理厂）</w:t>
                  </w:r>
                </w:p>
              </w:tc>
              <w:tc>
                <w:tcPr>
                  <w:tcW w:w="556" w:type="pct"/>
                  <w:tcBorders>
                    <w:top w:val="nil"/>
                    <w:left w:val="single" w:color="000000" w:sz="8" w:space="0"/>
                    <w:bottom w:val="single" w:color="000000" w:sz="8" w:space="0"/>
                    <w:right w:val="nil"/>
                  </w:tcBorders>
                  <w:shd w:val="clear" w:color="auto" w:fill="auto"/>
                  <w:vAlign w:val="center"/>
                </w:tcPr>
                <w:p w14:paraId="7D56D01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0.45</w:t>
                  </w:r>
                </w:p>
              </w:tc>
            </w:tr>
            <w:tr w14:paraId="2F5AC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21" w:type="pct"/>
                  <w:gridSpan w:val="5"/>
                  <w:tcBorders>
                    <w:top w:val="single" w:color="000000" w:sz="8" w:space="0"/>
                    <w:left w:val="nil"/>
                    <w:bottom w:val="single" w:color="000000" w:sz="8" w:space="0"/>
                    <w:right w:val="single" w:color="000000" w:sz="8" w:space="0"/>
                  </w:tcBorders>
                  <w:shd w:val="clear" w:color="auto" w:fill="auto"/>
                  <w:vAlign w:val="center"/>
                </w:tcPr>
                <w:p w14:paraId="65DD06B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小计</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97ECC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1.17</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C78C3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0.9945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9DDC6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2368A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0.9945</w:t>
                  </w:r>
                </w:p>
              </w:tc>
              <w:tc>
                <w:tcPr>
                  <w:tcW w:w="556" w:type="pct"/>
                  <w:tcBorders>
                    <w:top w:val="nil"/>
                    <w:left w:val="single" w:color="000000" w:sz="8" w:space="0"/>
                    <w:bottom w:val="single" w:color="000000" w:sz="8" w:space="0"/>
                    <w:right w:val="nil"/>
                  </w:tcBorders>
                  <w:shd w:val="clear" w:color="auto" w:fill="auto"/>
                  <w:vAlign w:val="center"/>
                </w:tcPr>
                <w:p w14:paraId="115F3AE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1.17</w:t>
                  </w:r>
                </w:p>
              </w:tc>
            </w:tr>
            <w:tr w14:paraId="47F3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6E38641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99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312EE0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产品配比用水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B520EA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CD535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BA518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1639D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C9533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（全部进入产品）</w:t>
                  </w:r>
                </w:p>
              </w:tc>
              <w:tc>
                <w:tcPr>
                  <w:tcW w:w="556" w:type="pct"/>
                  <w:tcBorders>
                    <w:top w:val="nil"/>
                    <w:left w:val="single" w:color="000000" w:sz="8" w:space="0"/>
                    <w:bottom w:val="single" w:color="000000" w:sz="8" w:space="0"/>
                    <w:right w:val="nil"/>
                  </w:tcBorders>
                  <w:shd w:val="clear" w:color="auto" w:fill="auto"/>
                  <w:vAlign w:val="center"/>
                </w:tcPr>
                <w:p w14:paraId="233A1EF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w:t>
                  </w:r>
                </w:p>
              </w:tc>
            </w:tr>
            <w:tr w14:paraId="66D24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09CE6BD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30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9928B3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车辆清洗用水</w:t>
                  </w:r>
                </w:p>
              </w:tc>
              <w:tc>
                <w:tcPr>
                  <w:tcW w:w="6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07CCB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成品罐车清洗用水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C67FB6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58C07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9.6</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08D99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8.16</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0D2C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8.16</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A73D6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（全部回用）</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7C16186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r>
            <w:tr w14:paraId="0597E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6D8CFB4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3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DDD4DD5">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47F56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运输车辆轮胎冲洗用水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D4D74E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77E0E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0.69</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46F32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0.59</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DB710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0.59</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63E22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（全部回用）</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063C0BF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r>
            <w:tr w14:paraId="382B8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4FF4C11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99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F5698B5">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搅拌设备清洗用水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74A652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7D55B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E0471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10263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8DD8E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（全部回用）</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3F25DAA5">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p>
              </w:tc>
            </w:tr>
            <w:tr w14:paraId="17E7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05BA231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99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45A1E9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地面冲洗用水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8B4A35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831BC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F5328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FFFAE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0.765</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394FA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（全部回用）</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65CB5E3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0.135</w:t>
                  </w:r>
                </w:p>
              </w:tc>
            </w:tr>
            <w:tr w14:paraId="6161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483BD34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30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B332A6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抑尘用水</w:t>
                  </w:r>
                </w:p>
              </w:tc>
              <w:tc>
                <w:tcPr>
                  <w:tcW w:w="6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7B875A">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喷雾用水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34C405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9CAE1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828C3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13D35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FEA48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（蒸发耗散）</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70AA17AB">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296E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70" w:type="pct"/>
                  <w:tcBorders>
                    <w:top w:val="single" w:color="000000" w:sz="8" w:space="0"/>
                    <w:left w:val="nil"/>
                    <w:bottom w:val="single" w:color="000000" w:sz="8" w:space="0"/>
                    <w:right w:val="single" w:color="000000" w:sz="8" w:space="0"/>
                  </w:tcBorders>
                  <w:shd w:val="clear" w:color="auto" w:fill="auto"/>
                  <w:vAlign w:val="center"/>
                </w:tcPr>
                <w:p w14:paraId="168D438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3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FB806A0">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CE624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洒水用水</w:t>
                  </w:r>
                </w:p>
              </w:tc>
              <w:tc>
                <w:tcPr>
                  <w:tcW w:w="752"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F2E04C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8EC98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341CB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CB941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1F09E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Style w:val="109"/>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（蒸发耗散）</w:t>
                  </w:r>
                </w:p>
              </w:tc>
              <w:tc>
                <w:tcPr>
                  <w:tcW w:w="556" w:type="pct"/>
                  <w:tcBorders>
                    <w:top w:val="single" w:color="000000" w:sz="8" w:space="0"/>
                    <w:left w:val="single" w:color="000000" w:sz="8" w:space="0"/>
                    <w:bottom w:val="single" w:color="000000" w:sz="8" w:space="0"/>
                    <w:right w:val="nil"/>
                  </w:tcBorders>
                  <w:shd w:val="clear" w:color="auto" w:fill="auto"/>
                  <w:vAlign w:val="center"/>
                </w:tcPr>
                <w:p w14:paraId="1574199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r>
            <w:tr w14:paraId="16DB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21" w:type="pct"/>
                  <w:gridSpan w:val="5"/>
                  <w:tcBorders>
                    <w:top w:val="single" w:color="000000" w:sz="8" w:space="0"/>
                    <w:left w:val="nil"/>
                    <w:bottom w:val="single" w:color="000000" w:sz="8" w:space="0"/>
                    <w:right w:val="single" w:color="000000" w:sz="8" w:space="0"/>
                  </w:tcBorders>
                  <w:shd w:val="clear" w:color="auto" w:fill="auto"/>
                  <w:vAlign w:val="center"/>
                </w:tcPr>
                <w:p w14:paraId="0684C66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合计</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top"/>
                </w:tcPr>
                <w:p w14:paraId="4CAAFD9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107.86</w:t>
                  </w:r>
                </w:p>
              </w:tc>
              <w:tc>
                <w:tcPr>
                  <w:tcW w:w="583" w:type="pct"/>
                  <w:tcBorders>
                    <w:top w:val="single" w:color="000000" w:sz="8" w:space="0"/>
                    <w:left w:val="single" w:color="000000" w:sz="8" w:space="0"/>
                    <w:bottom w:val="single" w:color="000000" w:sz="8" w:space="0"/>
                    <w:right w:val="single" w:color="000000" w:sz="8" w:space="0"/>
                  </w:tcBorders>
                  <w:shd w:val="clear" w:color="auto" w:fill="auto"/>
                  <w:vAlign w:val="top"/>
                </w:tcPr>
                <w:p w14:paraId="64C94DD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12.2095</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top"/>
                </w:tcPr>
                <w:p w14:paraId="275B5DB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11.215</w:t>
                  </w:r>
                </w:p>
              </w:tc>
              <w:tc>
                <w:tcPr>
                  <w:tcW w:w="726" w:type="pct"/>
                  <w:tcBorders>
                    <w:top w:val="single" w:color="000000" w:sz="8" w:space="0"/>
                    <w:left w:val="single" w:color="000000" w:sz="8" w:space="0"/>
                    <w:bottom w:val="single" w:color="000000" w:sz="8" w:space="0"/>
                    <w:right w:val="single" w:color="000000" w:sz="8" w:space="0"/>
                  </w:tcBorders>
                  <w:shd w:val="clear" w:color="auto" w:fill="auto"/>
                  <w:vAlign w:val="top"/>
                </w:tcPr>
                <w:p w14:paraId="329B01C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0.9945</w:t>
                  </w:r>
                </w:p>
              </w:tc>
              <w:tc>
                <w:tcPr>
                  <w:tcW w:w="556" w:type="pct"/>
                  <w:tcBorders>
                    <w:top w:val="single" w:color="000000" w:sz="8" w:space="0"/>
                    <w:left w:val="single" w:color="000000" w:sz="8" w:space="0"/>
                    <w:bottom w:val="single" w:color="000000" w:sz="8" w:space="0"/>
                    <w:right w:val="single" w:color="000000" w:sz="8" w:space="0"/>
                  </w:tcBorders>
                  <w:shd w:val="clear" w:color="auto" w:fill="auto"/>
                  <w:vAlign w:val="top"/>
                </w:tcPr>
                <w:p w14:paraId="171D318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96.645</w:t>
                  </w:r>
                </w:p>
              </w:tc>
            </w:tr>
          </w:tbl>
          <w:p w14:paraId="645F6431">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p>
          <w:p w14:paraId="6EA3CB14">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object>
                <v:shape id="_x0000_i1025" o:spt="75" type="#_x0000_t75" style="height:396.1pt;width:334.1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57E3B30B">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图2-1  水平衡图   单位m³/d</w:t>
            </w:r>
          </w:p>
          <w:p w14:paraId="4A6A1A49">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0" w:firstLineChars="0"/>
              <w:jc w:val="cente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object>
                <v:shape id="_x0000_i1026" o:spt="75" type="#_x0000_t75" style="height:150.55pt;width:325.6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5C65B4F9">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0" w:firstLineChars="0"/>
              <w:jc w:val="cente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4"/>
                <w:szCs w:val="24"/>
                <w:highlight w:val="none"/>
                <w:lang w:val="en-US" w:eastAsia="zh-CN"/>
                <w14:textFill>
                  <w14:solidFill>
                    <w14:schemeClr w14:val="tx1"/>
                  </w14:solidFill>
                </w14:textFill>
              </w:rPr>
              <w:t>图2-2  物料平衡     单位t/a</w:t>
            </w:r>
          </w:p>
          <w:p w14:paraId="2593C9E4">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tc>
      </w:tr>
      <w:tr w14:paraId="7A223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40" w:type="pct"/>
            <w:noWrap w:val="0"/>
            <w:vAlign w:val="center"/>
          </w:tcPr>
          <w:p w14:paraId="094D1875">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工艺流程和产排污环节</w:t>
            </w:r>
          </w:p>
        </w:tc>
        <w:tc>
          <w:tcPr>
            <w:tcW w:w="4759" w:type="pct"/>
            <w:noWrap w:val="0"/>
            <w:vAlign w:val="top"/>
          </w:tcPr>
          <w:p w14:paraId="67313861">
            <w:pPr>
              <w:keepNext w:val="0"/>
              <w:keepLines w:val="0"/>
              <w:pageBreakBefore w:val="0"/>
              <w:numPr>
                <w:ilvl w:val="0"/>
                <w:numId w:val="0"/>
              </w:numPr>
              <w:kinsoku/>
              <w:wordWrap/>
              <w:overflowPunct/>
              <w:topLinePunct w:val="0"/>
              <w:bidi w:val="0"/>
              <w:adjustRightInd/>
              <w:snapToGrid/>
              <w:spacing w:beforeLines="0" w:afterLines="0" w:line="360" w:lineRule="auto"/>
              <w:ind w:firstLine="480" w:firstLineChars="200"/>
              <w:jc w:val="both"/>
              <w:rPr>
                <w:rFonts w:hint="default" w:ascii="Times New Roman" w:hAnsi="Times New Roman" w:eastAsia="宋体" w:cs="Times New Roman"/>
                <w:b w:val="0"/>
                <w:bCs/>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kern w:val="21"/>
                <w:sz w:val="24"/>
                <w:szCs w:val="24"/>
                <w:highlight w:val="none"/>
                <w:lang w:val="en-US" w:eastAsia="zh-CN"/>
                <w14:textFill>
                  <w14:solidFill>
                    <w14:schemeClr w14:val="tx1"/>
                  </w14:solidFill>
                </w14:textFill>
              </w:rPr>
              <w:t>根据项目特点，其对环境的影响因素可分为两个阶段，即工程建设施工期和营运期。</w:t>
            </w:r>
          </w:p>
          <w:p w14:paraId="0FC9A586">
            <w:pPr>
              <w:keepLines w:val="0"/>
              <w:pageBreakBefore w:val="0"/>
              <w:kinsoku/>
              <w:bidi w:val="0"/>
              <w:snapToGrid/>
              <w:spacing w:beforeLines="0" w:afterLines="0" w:line="360" w:lineRule="auto"/>
              <w:ind w:firstLine="482" w:firstLineChars="200"/>
              <w:rPr>
                <w:rFonts w:hint="default" w:ascii="Times New Roman" w:hAnsi="Times New Roman" w:cs="Times New Roman"/>
                <w:b/>
                <w:bCs/>
                <w:color w:val="000000" w:themeColor="text1"/>
                <w:kern w:val="21"/>
                <w:sz w:val="24"/>
                <w:szCs w:val="24"/>
                <w:highlight w:val="none"/>
                <w14:textFill>
                  <w14:solidFill>
                    <w14:schemeClr w14:val="tx1"/>
                  </w14:solidFill>
                </w14:textFill>
              </w:rPr>
            </w:pPr>
            <w:r>
              <w:rPr>
                <w:rFonts w:hint="default" w:ascii="Times New Roman" w:hAnsi="Times New Roman" w:cs="Times New Roman"/>
                <w:b/>
                <w:bCs/>
                <w:color w:val="000000" w:themeColor="text1"/>
                <w:kern w:val="21"/>
                <w:sz w:val="24"/>
                <w:szCs w:val="24"/>
                <w:highlight w:val="none"/>
                <w14:textFill>
                  <w14:solidFill>
                    <w14:schemeClr w14:val="tx1"/>
                  </w14:solidFill>
                </w14:textFill>
              </w:rPr>
              <w:t>1、施工期项目工艺流程及产排污环节</w:t>
            </w:r>
          </w:p>
          <w:p w14:paraId="0DB6C78E">
            <w:pPr>
              <w:keepLines w:val="0"/>
              <w:pageBreakBefore w:val="0"/>
              <w:kinsoku/>
              <w:bidi w:val="0"/>
              <w:snapToGrid/>
              <w:spacing w:beforeLines="0" w:afterLines="0" w:line="360" w:lineRule="auto"/>
              <w:ind w:firstLine="482" w:firstLineChars="200"/>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工艺流程</w:t>
            </w:r>
          </w:p>
          <w:p w14:paraId="4A6E0A80">
            <w:pPr>
              <w:adjustRightInd w:val="0"/>
              <w:snapToGrid w:val="0"/>
              <w:spacing w:beforeLines="0" w:afterLines="0"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租用已有厂房建设</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施工期主要为设备安装工序。施工期间对环境的影响主要包括：焊接烟尘、施工噪声、施工固废、生活污水、生活垃圾等，其排放量随工序和施工强度不同而变化，伴随着施工的结束而结束。施工期主要流程及污染物产生的环节见下图。</w:t>
            </w:r>
          </w:p>
          <w:p w14:paraId="1CE699DE">
            <w:pPr>
              <w:pStyle w:val="31"/>
              <w:spacing w:before="0" w:beforeLines="0" w:after="0" w:afterLines="0"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3" w:name="_Toc12985"/>
            <w:bookmarkStart w:id="4" w:name="_Toc15138"/>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7" o:spt="75" type="#_x0000_t75" style="height:155.95pt;width:294.1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bookmarkEnd w:id="3"/>
            <w:bookmarkEnd w:id="4"/>
          </w:p>
          <w:p w14:paraId="00A55AB2">
            <w:pPr>
              <w:pStyle w:val="31"/>
              <w:spacing w:before="0" w:beforeLines="0" w:after="0" w:afterLines="0" w:line="36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bookmarkStart w:id="5" w:name="_Toc32084"/>
            <w:bookmarkStart w:id="6" w:name="_Toc18487"/>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图2-3 施工期工艺流程及产污图</w:t>
            </w:r>
            <w:bookmarkEnd w:id="5"/>
            <w:bookmarkEnd w:id="6"/>
          </w:p>
          <w:p w14:paraId="663C9C7B">
            <w:pPr>
              <w:keepLines w:val="0"/>
              <w:pageBreakBefore w:val="0"/>
              <w:kinsoku/>
              <w:bidi w:val="0"/>
              <w:snapToGrid/>
              <w:spacing w:beforeLines="0" w:afterLines="0" w:line="360" w:lineRule="auto"/>
              <w:ind w:firstLine="482" w:firstLineChars="200"/>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2、运营期项目工艺流程及产污环节</w:t>
            </w:r>
          </w:p>
          <w:p w14:paraId="121CB482">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（1）工艺流程</w:t>
            </w:r>
          </w:p>
          <w:p w14:paraId="20635BA3">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生产混凝土的原材料主要为砂、石子、水泥、粉煤灰等。其中砂和石子经运输车辆运至厂区后堆放在砂石料堆场内，本项目不对砂石进行破碎处理，水泥和粉煤灰采用密闭的罐车运输到厂区，用密闭输灰管将罐车的出料口与筒仓的进料口连接，将罐车中的粉料经过管道密闭输送到原料筒仓中进行储存，外加剂采用密闭的塑料桶进行封装后直接桶装运输至厂区使用。运输车辆进场均在洗车区进行冲洗，砂石运输车冲洗轮胎，罐车对储罐和轮胎进行冲洗。</w:t>
            </w:r>
          </w:p>
          <w:p w14:paraId="0E053373">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工艺流程及产污环节示意图见下图。</w:t>
            </w:r>
          </w:p>
          <w:p w14:paraId="537F9F96">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object>
                <v:shape id="_x0000_i1028" o:spt="75" type="#_x0000_t75" style="height:396.7pt;width:380.3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380FC3A4">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图2-4  项目运营期工艺流程及产污节点图</w:t>
            </w:r>
          </w:p>
          <w:p w14:paraId="5098E36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卸料、堆存</w:t>
            </w:r>
            <w:r>
              <w:rPr>
                <w:rFonts w:hint="default" w:ascii="Times New Roman" w:hAnsi="Times New Roman" w:eastAsia="宋体" w:cs="Times New Roman"/>
                <w:b/>
                <w:bCs w:val="0"/>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本项目</w:t>
            </w: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-原料包括砂石和粉状原料，血药资料、堆存的是砂石原料，砂石</w:t>
            </w: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原料由汽车对运输物料进行密闭遮盖后运输至本项目砂、石堆场堆放区；本项目原料堆场设置在生产车间内，为密闭厂房，卸料在密闭厂房内进行，同时，车间内设置喷雾降尘装置，通过在卸料过程中洒水以减少粉尘。</w:t>
            </w:r>
          </w:p>
          <w:p w14:paraId="0BC5B5A5">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 xml:space="preserve">此过程主要产生卸料堆存粉尘 </w:t>
            </w:r>
          </w:p>
          <w:p w14:paraId="754D375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【水泥仓、粉煤灰仓】：本项目用密闭输灰管将罐车的出料口与筒仓的进料口连接，粉料原料经过管道密闭输送到原料筒仓中进行储存</w:t>
            </w: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w:t>
            </w:r>
          </w:p>
          <w:p w14:paraId="6A657EFB">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此过程主要产生仓顶粉尘。</w:t>
            </w:r>
          </w:p>
          <w:p w14:paraId="593A6D68">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【配料斗、计量】：利用装载机将原料砂和碎石铲至配料斗，通过配料机下部称量斗计量</w:t>
            </w: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w:t>
            </w:r>
          </w:p>
          <w:p w14:paraId="1C6ABCB8">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此过程主要产生噪声和粉尘。</w:t>
            </w:r>
          </w:p>
          <w:p w14:paraId="3CBB22A8">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【皮带输送】：传输带均进行密闭，输送带密闭</w:t>
            </w: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w:t>
            </w:r>
          </w:p>
          <w:p w14:paraId="4C2758AD">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此过程主要产生噪声。</w:t>
            </w:r>
          </w:p>
          <w:p w14:paraId="0CBB260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搅拌主机仓斗中搅拌】：水泥、粉煤灰事先以压缩空气吹入筒仓储存，由筒仓底部自带的螺旋输送机将粉料输送至搅拌楼的粉料进料仓内进行称量，计量完成后通过管道将进料仓内的粉料输送至搅拌主机仓内。最后，通过水泵将水和液态添加剂输送至搅拌主机仓内，逐渐进行搅拌混合。</w:t>
            </w:r>
          </w:p>
          <w:p w14:paraId="7E40403C">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此过程主要产生噪声和粉尘。</w:t>
            </w:r>
          </w:p>
          <w:p w14:paraId="0628F663">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混凝土运输罐车（成品）】：搅拌混合充分后，在主机卸料口进行卸料，卸料过程采用密闭管道输送至罐车，由罐车运输至工地使用。项目通过微机控制系统，根据选定的配方对各种原材料进行计量，并控制各步操作，配料过程采用电脑控制，从而保证混凝土的品质。自动计量、配料后的各种原材料输送至搅拌机混合搅拌，搅拌机自动盖料，密封搅拌</w:t>
            </w:r>
            <w:r>
              <w:rPr>
                <w:rFonts w:hint="default" w:ascii="Times New Roman" w:hAnsi="Times New Roman" w:cs="Times New Roman"/>
                <w:b w:val="0"/>
                <w:bCs/>
                <w:color w:val="000000" w:themeColor="text1"/>
                <w:kern w:val="2"/>
                <w:sz w:val="24"/>
                <w:szCs w:val="24"/>
                <w:highlight w:val="none"/>
                <w:lang w:val="en-US" w:eastAsia="zh-CN"/>
                <w14:textFill>
                  <w14:solidFill>
                    <w14:schemeClr w14:val="tx1"/>
                  </w14:solidFill>
                </w14:textFill>
              </w:rPr>
              <w:t>。</w:t>
            </w:r>
          </w:p>
          <w:p w14:paraId="63EF2D02">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14:textFill>
                  <w14:solidFill>
                    <w14:schemeClr w14:val="tx1"/>
                  </w14:solidFill>
                </w14:textFill>
              </w:rPr>
              <w:t>此过程主要产生噪声。</w:t>
            </w:r>
          </w:p>
          <w:p w14:paraId="48C09124">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（2）产污环节</w:t>
            </w:r>
          </w:p>
          <w:p w14:paraId="05E6020E">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项目排污节点一览表</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468"/>
              <w:gridCol w:w="1625"/>
              <w:gridCol w:w="1650"/>
              <w:gridCol w:w="992"/>
              <w:gridCol w:w="3110"/>
            </w:tblGrid>
            <w:tr w14:paraId="761D8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tcBorders>
                    <w:tl2br w:val="nil"/>
                    <w:tr2bl w:val="nil"/>
                  </w:tcBorders>
                  <w:shd w:val="clear" w:color="auto" w:fill="auto"/>
                  <w:noWrap w:val="0"/>
                  <w:vAlign w:val="center"/>
                </w:tcPr>
                <w:p w14:paraId="2AF7C5EC">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baseline"/>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类别</w:t>
                  </w:r>
                </w:p>
              </w:tc>
              <w:tc>
                <w:tcPr>
                  <w:tcW w:w="1035" w:type="pct"/>
                  <w:tcBorders>
                    <w:tl2br w:val="nil"/>
                    <w:tr2bl w:val="nil"/>
                  </w:tcBorders>
                  <w:shd w:val="clear" w:color="auto" w:fill="auto"/>
                  <w:noWrap w:val="0"/>
                  <w:vAlign w:val="center"/>
                </w:tcPr>
                <w:p w14:paraId="0A0BB5AF">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排污节点</w:t>
                  </w:r>
                </w:p>
              </w:tc>
              <w:tc>
                <w:tcPr>
                  <w:tcW w:w="1051" w:type="pct"/>
                  <w:tcBorders>
                    <w:tl2br w:val="nil"/>
                    <w:tr2bl w:val="nil"/>
                  </w:tcBorders>
                  <w:shd w:val="clear" w:color="auto" w:fill="auto"/>
                  <w:noWrap w:val="0"/>
                  <w:vAlign w:val="center"/>
                </w:tcPr>
                <w:p w14:paraId="35D800A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主要污染物</w:t>
                  </w:r>
                </w:p>
              </w:tc>
              <w:tc>
                <w:tcPr>
                  <w:tcW w:w="632" w:type="pct"/>
                  <w:tcBorders>
                    <w:tl2br w:val="nil"/>
                    <w:tr2bl w:val="nil"/>
                  </w:tcBorders>
                  <w:shd w:val="clear" w:color="auto" w:fill="auto"/>
                  <w:noWrap w:val="0"/>
                  <w:vAlign w:val="center"/>
                </w:tcPr>
                <w:p w14:paraId="19076D1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产生特征</w:t>
                  </w:r>
                </w:p>
              </w:tc>
              <w:tc>
                <w:tcPr>
                  <w:tcW w:w="1981" w:type="pct"/>
                  <w:tcBorders>
                    <w:tl2br w:val="nil"/>
                    <w:tr2bl w:val="nil"/>
                  </w:tcBorders>
                  <w:shd w:val="clear" w:color="auto" w:fill="auto"/>
                  <w:noWrap w:val="0"/>
                  <w:vAlign w:val="center"/>
                </w:tcPr>
                <w:p w14:paraId="5E1ACD75">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baseline"/>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治理措施</w:t>
                  </w:r>
                </w:p>
              </w:tc>
            </w:tr>
            <w:tr w14:paraId="351A88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restart"/>
                  <w:tcBorders>
                    <w:tl2br w:val="nil"/>
                    <w:tr2bl w:val="nil"/>
                  </w:tcBorders>
                  <w:shd w:val="clear" w:color="auto" w:fill="auto"/>
                  <w:noWrap w:val="0"/>
                  <w:vAlign w:val="center"/>
                </w:tcPr>
                <w:p w14:paraId="65FC834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1035" w:type="pct"/>
                  <w:tcBorders>
                    <w:tl2br w:val="nil"/>
                    <w:tr2bl w:val="nil"/>
                  </w:tcBorders>
                  <w:shd w:val="clear" w:color="auto" w:fill="auto"/>
                  <w:noWrap w:val="0"/>
                  <w:vAlign w:val="center"/>
                </w:tcPr>
                <w:p w14:paraId="15C0354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原料</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卸料、堆存</w:t>
                  </w:r>
                </w:p>
              </w:tc>
              <w:tc>
                <w:tcPr>
                  <w:tcW w:w="1051" w:type="pct"/>
                  <w:tcBorders>
                    <w:tl2br w:val="nil"/>
                    <w:tr2bl w:val="nil"/>
                  </w:tcBorders>
                  <w:shd w:val="clear" w:color="auto" w:fill="auto"/>
                  <w:noWrap w:val="0"/>
                  <w:vAlign w:val="center"/>
                </w:tcPr>
                <w:p w14:paraId="5E98A52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632" w:type="pct"/>
                  <w:tcBorders>
                    <w:tl2br w:val="nil"/>
                    <w:tr2bl w:val="nil"/>
                  </w:tcBorders>
                  <w:shd w:val="clear" w:color="auto" w:fill="auto"/>
                  <w:noWrap w:val="0"/>
                  <w:vAlign w:val="center"/>
                </w:tcPr>
                <w:p w14:paraId="2050105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1823B3B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喷雾降尘，密闭厂房</w:t>
                  </w:r>
                </w:p>
              </w:tc>
            </w:tr>
            <w:tr w14:paraId="23731A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27B0773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76C919A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上料粉尘</w:t>
                  </w:r>
                </w:p>
              </w:tc>
              <w:tc>
                <w:tcPr>
                  <w:tcW w:w="1051" w:type="pct"/>
                  <w:tcBorders>
                    <w:tl2br w:val="nil"/>
                    <w:tr2bl w:val="nil"/>
                  </w:tcBorders>
                  <w:shd w:val="clear" w:color="auto" w:fill="auto"/>
                  <w:noWrap w:val="0"/>
                  <w:vAlign w:val="center"/>
                </w:tcPr>
                <w:p w14:paraId="05FCF07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632" w:type="pct"/>
                  <w:tcBorders>
                    <w:tl2br w:val="nil"/>
                    <w:tr2bl w:val="nil"/>
                  </w:tcBorders>
                  <w:shd w:val="clear" w:color="auto" w:fill="auto"/>
                  <w:noWrap w:val="0"/>
                  <w:vAlign w:val="center"/>
                </w:tcPr>
                <w:p w14:paraId="1F8A275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3849BC6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喷雾降尘，密闭厂房</w:t>
                  </w:r>
                </w:p>
              </w:tc>
            </w:tr>
            <w:tr w14:paraId="0C17E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35212B0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272EE25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搅拌</w:t>
                  </w:r>
                </w:p>
              </w:tc>
              <w:tc>
                <w:tcPr>
                  <w:tcW w:w="1051" w:type="pct"/>
                  <w:tcBorders>
                    <w:tl2br w:val="nil"/>
                    <w:tr2bl w:val="nil"/>
                  </w:tcBorders>
                  <w:shd w:val="clear" w:color="auto" w:fill="auto"/>
                  <w:noWrap w:val="0"/>
                  <w:vAlign w:val="center"/>
                </w:tcPr>
                <w:p w14:paraId="2E66F21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632" w:type="pct"/>
                  <w:tcBorders>
                    <w:tl2br w:val="nil"/>
                    <w:tr2bl w:val="nil"/>
                  </w:tcBorders>
                  <w:shd w:val="clear" w:color="auto" w:fill="auto"/>
                  <w:noWrap w:val="0"/>
                  <w:vAlign w:val="center"/>
                </w:tcPr>
                <w:p w14:paraId="19353E6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19472D4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负压抽风收集+脉冲袋式除尘器+15m排气筒（DA001）</w:t>
                  </w:r>
                </w:p>
              </w:tc>
            </w:tr>
            <w:tr w14:paraId="7AF118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4E38381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544B929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运输扬尘</w:t>
                  </w:r>
                </w:p>
              </w:tc>
              <w:tc>
                <w:tcPr>
                  <w:tcW w:w="1051" w:type="pct"/>
                  <w:tcBorders>
                    <w:tl2br w:val="nil"/>
                    <w:tr2bl w:val="nil"/>
                  </w:tcBorders>
                  <w:shd w:val="clear" w:color="auto" w:fill="auto"/>
                  <w:noWrap w:val="0"/>
                  <w:vAlign w:val="center"/>
                </w:tcPr>
                <w:p w14:paraId="09E0B9D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632" w:type="pct"/>
                  <w:tcBorders>
                    <w:tl2br w:val="nil"/>
                    <w:tr2bl w:val="nil"/>
                  </w:tcBorders>
                  <w:shd w:val="clear" w:color="auto" w:fill="auto"/>
                  <w:noWrap w:val="0"/>
                  <w:vAlign w:val="center"/>
                </w:tcPr>
                <w:p w14:paraId="20C8026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76389D1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对道路洒水</w:t>
                  </w:r>
                </w:p>
              </w:tc>
            </w:tr>
            <w:tr w14:paraId="60C2E3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78349D7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6DFF515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筒仓仓顶呼吸孔粉尘</w:t>
                  </w:r>
                </w:p>
              </w:tc>
              <w:tc>
                <w:tcPr>
                  <w:tcW w:w="1051" w:type="pct"/>
                  <w:tcBorders>
                    <w:tl2br w:val="nil"/>
                    <w:tr2bl w:val="nil"/>
                  </w:tcBorders>
                  <w:shd w:val="clear" w:color="auto" w:fill="auto"/>
                  <w:noWrap w:val="0"/>
                  <w:vAlign w:val="center"/>
                </w:tcPr>
                <w:p w14:paraId="4B9795A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632" w:type="pct"/>
                  <w:tcBorders>
                    <w:tl2br w:val="nil"/>
                    <w:tr2bl w:val="nil"/>
                  </w:tcBorders>
                  <w:shd w:val="clear" w:color="auto" w:fill="auto"/>
                  <w:noWrap w:val="0"/>
                  <w:vAlign w:val="center"/>
                </w:tcPr>
                <w:p w14:paraId="11FA9F9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066E3CFE">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脉冲袋式除尘器+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15m排气筒（DA002、DA003、DA004）</w:t>
                  </w:r>
                </w:p>
              </w:tc>
            </w:tr>
            <w:tr w14:paraId="555CF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6948545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5B3225B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汽车运输尾气</w:t>
                  </w:r>
                </w:p>
              </w:tc>
              <w:tc>
                <w:tcPr>
                  <w:tcW w:w="1051" w:type="pct"/>
                  <w:tcBorders>
                    <w:tl2br w:val="nil"/>
                    <w:tr2bl w:val="nil"/>
                  </w:tcBorders>
                  <w:shd w:val="clear" w:color="auto" w:fill="auto"/>
                  <w:noWrap w:val="0"/>
                  <w:vAlign w:val="center"/>
                </w:tcPr>
                <w:p w14:paraId="6FF04733">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NOx、CO、HC</w:t>
                  </w:r>
                </w:p>
              </w:tc>
              <w:tc>
                <w:tcPr>
                  <w:tcW w:w="632" w:type="pct"/>
                  <w:tcBorders>
                    <w:tl2br w:val="nil"/>
                    <w:tr2bl w:val="nil"/>
                  </w:tcBorders>
                  <w:shd w:val="clear" w:color="auto" w:fill="auto"/>
                  <w:noWrap w:val="0"/>
                  <w:vAlign w:val="center"/>
                </w:tcPr>
                <w:p w14:paraId="0947E783">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5E4FCBD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经扩散后对区域大气环境基本无影响</w:t>
                  </w:r>
                </w:p>
              </w:tc>
            </w:tr>
            <w:tr w14:paraId="6A1545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7BD46B0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7E34058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w:t>
                  </w:r>
                </w:p>
              </w:tc>
              <w:tc>
                <w:tcPr>
                  <w:tcW w:w="1051" w:type="pct"/>
                  <w:tcBorders>
                    <w:tl2br w:val="nil"/>
                    <w:tr2bl w:val="nil"/>
                  </w:tcBorders>
                  <w:shd w:val="clear" w:color="auto" w:fill="auto"/>
                  <w:noWrap w:val="0"/>
                  <w:vAlign w:val="center"/>
                </w:tcPr>
                <w:p w14:paraId="28F331E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632" w:type="pct"/>
                  <w:tcBorders>
                    <w:tl2br w:val="nil"/>
                    <w:tr2bl w:val="nil"/>
                  </w:tcBorders>
                  <w:shd w:val="clear" w:color="auto" w:fill="auto"/>
                  <w:noWrap w:val="0"/>
                  <w:vAlign w:val="center"/>
                </w:tcPr>
                <w:p w14:paraId="18508E3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58007FB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1套静电油烟净化器+楼顶排放</w:t>
                  </w:r>
                </w:p>
              </w:tc>
            </w:tr>
            <w:tr w14:paraId="3FC34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restart"/>
                  <w:tcBorders>
                    <w:tl2br w:val="nil"/>
                    <w:tr2bl w:val="nil"/>
                  </w:tcBorders>
                  <w:shd w:val="clear" w:color="auto" w:fill="auto"/>
                  <w:noWrap w:val="0"/>
                  <w:vAlign w:val="center"/>
                </w:tcPr>
                <w:p w14:paraId="1199573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1035" w:type="pct"/>
                  <w:tcBorders>
                    <w:tl2br w:val="nil"/>
                    <w:tr2bl w:val="nil"/>
                  </w:tcBorders>
                  <w:shd w:val="clear" w:color="auto" w:fill="auto"/>
                  <w:noWrap w:val="0"/>
                  <w:vAlign w:val="center"/>
                </w:tcPr>
                <w:p w14:paraId="0E2F69D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w:t>
                  </w:r>
                </w:p>
              </w:tc>
              <w:tc>
                <w:tcPr>
                  <w:tcW w:w="1051" w:type="pct"/>
                  <w:tcBorders>
                    <w:tl2br w:val="nil"/>
                    <w:tr2bl w:val="nil"/>
                  </w:tcBorders>
                  <w:shd w:val="clear" w:color="auto" w:fill="auto"/>
                  <w:noWrap w:val="0"/>
                  <w:vAlign w:val="center"/>
                </w:tcPr>
                <w:p w14:paraId="6197820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r>
                    <w:rPr>
                      <w:rFonts w:hint="default" w:ascii="Times New Roman" w:hAnsi="Times New Roman" w:eastAsia="宋体" w:cs="Times New Roman"/>
                      <w:color w:val="000000" w:themeColor="text1"/>
                      <w:sz w:val="21"/>
                      <w:szCs w:val="21"/>
                      <w:highlight w:val="none"/>
                      <w14:textFill>
                        <w14:solidFill>
                          <w14:schemeClr w14:val="tx1"/>
                        </w14:solidFill>
                      </w14:textFill>
                    </w:rPr>
                    <w:t>COD、SS、氨氮、TN、TP</w:t>
                  </w:r>
                </w:p>
              </w:tc>
              <w:tc>
                <w:tcPr>
                  <w:tcW w:w="632" w:type="pct"/>
                  <w:tcBorders>
                    <w:tl2br w:val="nil"/>
                    <w:tr2bl w:val="nil"/>
                  </w:tcBorders>
                  <w:shd w:val="clear" w:color="auto" w:fill="auto"/>
                  <w:noWrap w:val="0"/>
                  <w:vAlign w:val="center"/>
                </w:tcPr>
                <w:p w14:paraId="2B38E37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400CC40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排入</w:t>
                  </w:r>
                  <w:r>
                    <w:rPr>
                      <w:rFonts w:hint="eastAsia" w:cs="Times New Roman"/>
                      <w:color w:val="000000" w:themeColor="text1"/>
                      <w:sz w:val="21"/>
                      <w:szCs w:val="21"/>
                      <w:highlight w:val="none"/>
                      <w:lang w:eastAsia="zh-CN"/>
                      <w14:textFill>
                        <w14:solidFill>
                          <w14:schemeClr w14:val="tx1"/>
                        </w14:solidFill>
                      </w14:textFill>
                    </w:rPr>
                    <w:t>预处理池</w:t>
                  </w:r>
                  <w:r>
                    <w:rPr>
                      <w:rFonts w:hint="default" w:ascii="Times New Roman" w:hAnsi="Times New Roman" w:eastAsia="宋体" w:cs="Times New Roman"/>
                      <w:color w:val="000000" w:themeColor="text1"/>
                      <w:sz w:val="21"/>
                      <w:szCs w:val="21"/>
                      <w:highlight w:val="none"/>
                      <w14:textFill>
                        <w14:solidFill>
                          <w14:schemeClr w14:val="tx1"/>
                        </w14:solidFill>
                      </w14:textFill>
                    </w:rPr>
                    <w:t>，进入甘孜县县城污水处理厂</w:t>
                  </w:r>
                </w:p>
              </w:tc>
            </w:tr>
            <w:tr w14:paraId="45B428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4C6659B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546A77B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w:t>
                  </w:r>
                </w:p>
              </w:tc>
              <w:tc>
                <w:tcPr>
                  <w:tcW w:w="1051" w:type="pct"/>
                  <w:tcBorders>
                    <w:tl2br w:val="nil"/>
                    <w:tr2bl w:val="nil"/>
                  </w:tcBorders>
                  <w:shd w:val="clear" w:color="auto" w:fill="auto"/>
                  <w:noWrap w:val="0"/>
                  <w:vAlign w:val="center"/>
                </w:tcPr>
                <w:p w14:paraId="2FB46BD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pH、COD、SS、氨氮、TN、动植物油、TP</w:t>
                  </w:r>
                </w:p>
              </w:tc>
              <w:tc>
                <w:tcPr>
                  <w:tcW w:w="632" w:type="pct"/>
                  <w:tcBorders>
                    <w:tl2br w:val="nil"/>
                    <w:tr2bl w:val="nil"/>
                  </w:tcBorders>
                  <w:shd w:val="clear" w:color="auto" w:fill="auto"/>
                  <w:noWrap w:val="0"/>
                  <w:vAlign w:val="center"/>
                </w:tcPr>
                <w:p w14:paraId="3860E21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22BB5F8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隔油器隔油处理后，排入</w:t>
                  </w:r>
                  <w:r>
                    <w:rPr>
                      <w:rFonts w:hint="eastAsia" w:cs="Times New Roman"/>
                      <w:color w:val="000000" w:themeColor="text1"/>
                      <w:sz w:val="21"/>
                      <w:szCs w:val="21"/>
                      <w:highlight w:val="none"/>
                      <w:lang w:val="en-US" w:eastAsia="zh-CN"/>
                      <w14:textFill>
                        <w14:solidFill>
                          <w14:schemeClr w14:val="tx1"/>
                        </w14:solidFill>
                      </w14:textFill>
                    </w:rPr>
                    <w:t>预处理池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，进入甘孜县县城污水处理厂</w:t>
                  </w:r>
                </w:p>
              </w:tc>
            </w:tr>
            <w:tr w14:paraId="275F6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0DE9623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3B3F391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产品配比</w:t>
                  </w:r>
                </w:p>
              </w:tc>
              <w:tc>
                <w:tcPr>
                  <w:tcW w:w="1051" w:type="pct"/>
                  <w:tcBorders>
                    <w:tl2br w:val="nil"/>
                    <w:tr2bl w:val="nil"/>
                  </w:tcBorders>
                  <w:shd w:val="clear" w:color="auto" w:fill="auto"/>
                  <w:noWrap w:val="0"/>
                  <w:vAlign w:val="center"/>
                </w:tcPr>
                <w:p w14:paraId="0110757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14C8D87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530F8F1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进入产品</w:t>
                  </w:r>
                </w:p>
              </w:tc>
            </w:tr>
            <w:tr w14:paraId="02780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4EB39DE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639C0EC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成品罐车清洗</w:t>
                  </w:r>
                </w:p>
              </w:tc>
              <w:tc>
                <w:tcPr>
                  <w:tcW w:w="1051" w:type="pct"/>
                  <w:tcBorders>
                    <w:tl2br w:val="nil"/>
                    <w:tr2bl w:val="nil"/>
                  </w:tcBorders>
                  <w:shd w:val="clear" w:color="auto" w:fill="auto"/>
                  <w:noWrap w:val="0"/>
                  <w:vAlign w:val="center"/>
                </w:tcPr>
                <w:p w14:paraId="7AAEE65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1BDAE21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0ACA462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厂内三级沉淀池处理后回用</w:t>
                  </w:r>
                </w:p>
              </w:tc>
            </w:tr>
            <w:tr w14:paraId="09DFB5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3065166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1622C41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运输车辆轮胎冲洗</w:t>
                  </w:r>
                </w:p>
              </w:tc>
              <w:tc>
                <w:tcPr>
                  <w:tcW w:w="1051" w:type="pct"/>
                  <w:tcBorders>
                    <w:tl2br w:val="nil"/>
                    <w:tr2bl w:val="nil"/>
                  </w:tcBorders>
                  <w:shd w:val="clear" w:color="auto" w:fill="auto"/>
                  <w:noWrap w:val="0"/>
                  <w:vAlign w:val="center"/>
                </w:tcPr>
                <w:p w14:paraId="447E46E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44C20F4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25D2BB6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厂内三级沉淀池处理后回用</w:t>
                  </w:r>
                </w:p>
              </w:tc>
            </w:tr>
            <w:tr w14:paraId="1A428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459C799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0419C14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搅拌设备清洗</w:t>
                  </w:r>
                </w:p>
              </w:tc>
              <w:tc>
                <w:tcPr>
                  <w:tcW w:w="1051" w:type="pct"/>
                  <w:tcBorders>
                    <w:tl2br w:val="nil"/>
                    <w:tr2bl w:val="nil"/>
                  </w:tcBorders>
                  <w:shd w:val="clear" w:color="auto" w:fill="auto"/>
                  <w:noWrap w:val="0"/>
                  <w:vAlign w:val="center"/>
                </w:tcPr>
                <w:p w14:paraId="5ED318F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2098FD1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716CD92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厂内三级沉淀池处理后回用</w:t>
                  </w:r>
                </w:p>
              </w:tc>
            </w:tr>
            <w:tr w14:paraId="0D62B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5885562A">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787B4E3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地面冲洗</w:t>
                  </w:r>
                </w:p>
              </w:tc>
              <w:tc>
                <w:tcPr>
                  <w:tcW w:w="1051" w:type="pct"/>
                  <w:tcBorders>
                    <w:tl2br w:val="nil"/>
                    <w:tr2bl w:val="nil"/>
                  </w:tcBorders>
                  <w:shd w:val="clear" w:color="auto" w:fill="auto"/>
                  <w:noWrap w:val="0"/>
                  <w:vAlign w:val="center"/>
                </w:tcPr>
                <w:p w14:paraId="411C69F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6CBCF863">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685139A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厂内三级沉淀池处理后回用</w:t>
                  </w:r>
                </w:p>
              </w:tc>
            </w:tr>
            <w:tr w14:paraId="5B8A3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7CC46FD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0DA5C03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喷雾用水</w:t>
                  </w:r>
                </w:p>
              </w:tc>
              <w:tc>
                <w:tcPr>
                  <w:tcW w:w="1051" w:type="pct"/>
                  <w:tcBorders>
                    <w:tl2br w:val="nil"/>
                    <w:tr2bl w:val="nil"/>
                  </w:tcBorders>
                  <w:shd w:val="clear" w:color="auto" w:fill="auto"/>
                  <w:noWrap w:val="0"/>
                  <w:vAlign w:val="center"/>
                </w:tcPr>
                <w:p w14:paraId="4FCA54A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2C0D7C02">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2EE1526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蒸发消耗</w:t>
                  </w:r>
                </w:p>
              </w:tc>
            </w:tr>
            <w:tr w14:paraId="723DE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5FAC3F8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0A6C181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洒水用水</w:t>
                  </w:r>
                </w:p>
              </w:tc>
              <w:tc>
                <w:tcPr>
                  <w:tcW w:w="1051" w:type="pct"/>
                  <w:tcBorders>
                    <w:tl2br w:val="nil"/>
                    <w:tr2bl w:val="nil"/>
                  </w:tcBorders>
                  <w:shd w:val="clear" w:color="auto" w:fill="auto"/>
                  <w:noWrap w:val="0"/>
                  <w:vAlign w:val="center"/>
                </w:tcPr>
                <w:p w14:paraId="5342498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pH、SS</w:t>
                  </w:r>
                </w:p>
              </w:tc>
              <w:tc>
                <w:tcPr>
                  <w:tcW w:w="632" w:type="pct"/>
                  <w:tcBorders>
                    <w:tl2br w:val="nil"/>
                    <w:tr2bl w:val="nil"/>
                  </w:tcBorders>
                  <w:shd w:val="clear" w:color="auto" w:fill="auto"/>
                  <w:noWrap w:val="0"/>
                  <w:vAlign w:val="center"/>
                </w:tcPr>
                <w:p w14:paraId="41531AD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间歇</w:t>
                  </w:r>
                </w:p>
              </w:tc>
              <w:tc>
                <w:tcPr>
                  <w:tcW w:w="1981" w:type="pct"/>
                  <w:tcBorders>
                    <w:tl2br w:val="nil"/>
                    <w:tr2bl w:val="nil"/>
                  </w:tcBorders>
                  <w:shd w:val="clear" w:color="auto" w:fill="auto"/>
                  <w:noWrap w:val="0"/>
                  <w:vAlign w:val="center"/>
                </w:tcPr>
                <w:p w14:paraId="2B159B31">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蒸发消耗</w:t>
                  </w:r>
                </w:p>
              </w:tc>
            </w:tr>
            <w:tr w14:paraId="4544C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tcBorders>
                    <w:tl2br w:val="nil"/>
                    <w:tr2bl w:val="nil"/>
                  </w:tcBorders>
                  <w:shd w:val="clear" w:color="auto" w:fill="auto"/>
                  <w:noWrap w:val="0"/>
                  <w:vAlign w:val="center"/>
                </w:tcPr>
                <w:p w14:paraId="57258F1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1035" w:type="pct"/>
                  <w:tcBorders>
                    <w:tl2br w:val="nil"/>
                    <w:tr2bl w:val="nil"/>
                  </w:tcBorders>
                  <w:shd w:val="clear" w:color="auto" w:fill="auto"/>
                  <w:noWrap w:val="0"/>
                  <w:vAlign w:val="center"/>
                </w:tcPr>
                <w:p w14:paraId="3103AB6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highlight w:val="none"/>
                      <w14:textFill>
                        <w14:solidFill>
                          <w14:schemeClr w14:val="tx1"/>
                        </w14:solidFill>
                      </w14:textFill>
                    </w:rPr>
                    <w:t>设备</w:t>
                  </w:r>
                </w:p>
              </w:tc>
              <w:tc>
                <w:tcPr>
                  <w:tcW w:w="1051" w:type="pct"/>
                  <w:tcBorders>
                    <w:tl2br w:val="nil"/>
                    <w:tr2bl w:val="nil"/>
                  </w:tcBorders>
                  <w:shd w:val="clear" w:color="auto" w:fill="auto"/>
                  <w:noWrap w:val="0"/>
                  <w:vAlign w:val="center"/>
                </w:tcPr>
                <w:p w14:paraId="53B544C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632" w:type="pct"/>
                  <w:tcBorders>
                    <w:tl2br w:val="nil"/>
                    <w:tr2bl w:val="nil"/>
                  </w:tcBorders>
                  <w:shd w:val="clear" w:color="auto" w:fill="auto"/>
                  <w:noWrap w:val="0"/>
                  <w:vAlign w:val="center"/>
                </w:tcPr>
                <w:p w14:paraId="63E6C6F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连续</w:t>
                  </w:r>
                </w:p>
              </w:tc>
              <w:tc>
                <w:tcPr>
                  <w:tcW w:w="1981" w:type="pct"/>
                  <w:tcBorders>
                    <w:tl2br w:val="nil"/>
                    <w:tr2bl w:val="nil"/>
                  </w:tcBorders>
                  <w:shd w:val="clear" w:color="auto" w:fill="auto"/>
                  <w:noWrap w:val="0"/>
                  <w:vAlign w:val="center"/>
                </w:tcPr>
                <w:p w14:paraId="06139AD7">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厂房隔声、基础减振、距离衰减</w:t>
                  </w:r>
                </w:p>
              </w:tc>
            </w:tr>
            <w:tr w14:paraId="2F5670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restart"/>
                  <w:tcBorders>
                    <w:tl2br w:val="nil"/>
                    <w:tr2bl w:val="nil"/>
                  </w:tcBorders>
                  <w:shd w:val="clear" w:color="auto" w:fill="auto"/>
                  <w:noWrap w:val="0"/>
                  <w:vAlign w:val="center"/>
                </w:tcPr>
                <w:p w14:paraId="2E726498">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1035" w:type="pct"/>
                  <w:tcBorders>
                    <w:tl2br w:val="nil"/>
                    <w:tr2bl w:val="nil"/>
                  </w:tcBorders>
                  <w:shd w:val="clear" w:color="auto" w:fill="auto"/>
                  <w:noWrap w:val="0"/>
                  <w:vAlign w:val="center"/>
                </w:tcPr>
                <w:p w14:paraId="2C1E3AE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w:t>
                  </w:r>
                </w:p>
              </w:tc>
              <w:tc>
                <w:tcPr>
                  <w:tcW w:w="1051" w:type="pct"/>
                  <w:tcBorders>
                    <w:tl2br w:val="nil"/>
                    <w:tr2bl w:val="nil"/>
                  </w:tcBorders>
                  <w:shd w:val="clear" w:color="auto" w:fill="auto"/>
                  <w:noWrap w:val="0"/>
                  <w:vAlign w:val="center"/>
                </w:tcPr>
                <w:p w14:paraId="353777E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632" w:type="pct"/>
                  <w:tcBorders>
                    <w:tl2br w:val="nil"/>
                    <w:tr2bl w:val="nil"/>
                  </w:tcBorders>
                  <w:shd w:val="clear" w:color="auto" w:fill="auto"/>
                  <w:noWrap w:val="0"/>
                  <w:vAlign w:val="center"/>
                </w:tcPr>
                <w:p w14:paraId="375A203B">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17CE54C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交由环卫部门清运</w:t>
                  </w:r>
                </w:p>
              </w:tc>
            </w:tr>
            <w:tr w14:paraId="1D8A1E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50258E9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6A2854E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废水处理</w:t>
                  </w:r>
                </w:p>
              </w:tc>
              <w:tc>
                <w:tcPr>
                  <w:tcW w:w="1051" w:type="pct"/>
                  <w:tcBorders>
                    <w:tl2br w:val="nil"/>
                    <w:tr2bl w:val="nil"/>
                  </w:tcBorders>
                  <w:shd w:val="clear" w:color="auto" w:fill="auto"/>
                  <w:noWrap w:val="0"/>
                  <w:vAlign w:val="center"/>
                </w:tcPr>
                <w:p w14:paraId="37067235">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沉淀池污泥</w:t>
                  </w:r>
                </w:p>
              </w:tc>
              <w:tc>
                <w:tcPr>
                  <w:tcW w:w="632" w:type="pct"/>
                  <w:tcBorders>
                    <w:tl2br w:val="nil"/>
                    <w:tr2bl w:val="nil"/>
                  </w:tcBorders>
                  <w:shd w:val="clear" w:color="auto" w:fill="auto"/>
                  <w:noWrap w:val="0"/>
                  <w:vAlign w:val="center"/>
                </w:tcPr>
                <w:p w14:paraId="201AEA7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25C7D9B4">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外售建材厂综合利用</w:t>
                  </w:r>
                </w:p>
              </w:tc>
            </w:tr>
            <w:tr w14:paraId="4CFE0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7BBF91D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6565E84C">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1051" w:type="pct"/>
                  <w:tcBorders>
                    <w:tl2br w:val="nil"/>
                    <w:tr2bl w:val="nil"/>
                  </w:tcBorders>
                  <w:shd w:val="clear" w:color="auto" w:fill="auto"/>
                  <w:noWrap w:val="0"/>
                  <w:vAlign w:val="center"/>
                </w:tcPr>
                <w:p w14:paraId="2C9AF33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收集尘</w:t>
                  </w:r>
                </w:p>
              </w:tc>
              <w:tc>
                <w:tcPr>
                  <w:tcW w:w="632" w:type="pct"/>
                  <w:tcBorders>
                    <w:tl2br w:val="nil"/>
                    <w:tr2bl w:val="nil"/>
                  </w:tcBorders>
                  <w:shd w:val="clear" w:color="auto" w:fill="auto"/>
                  <w:noWrap w:val="0"/>
                  <w:vAlign w:val="center"/>
                </w:tcPr>
                <w:p w14:paraId="00A5938F">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7FAA640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外售粉体厂进行综合利用</w:t>
                  </w:r>
                </w:p>
              </w:tc>
            </w:tr>
            <w:tr w14:paraId="646FB4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298" w:type="pct"/>
                  <w:vMerge w:val="continue"/>
                  <w:tcBorders>
                    <w:tl2br w:val="nil"/>
                    <w:tr2bl w:val="nil"/>
                  </w:tcBorders>
                  <w:shd w:val="clear" w:color="auto" w:fill="auto"/>
                  <w:noWrap w:val="0"/>
                  <w:vAlign w:val="center"/>
                </w:tcPr>
                <w:p w14:paraId="10C16F70">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35" w:type="pct"/>
                  <w:tcBorders>
                    <w:tl2br w:val="nil"/>
                    <w:tr2bl w:val="nil"/>
                  </w:tcBorders>
                  <w:shd w:val="clear" w:color="auto" w:fill="auto"/>
                  <w:noWrap w:val="0"/>
                  <w:vAlign w:val="center"/>
                </w:tcPr>
                <w:p w14:paraId="0AB355C9">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设备保养</w:t>
                  </w:r>
                </w:p>
              </w:tc>
              <w:tc>
                <w:tcPr>
                  <w:tcW w:w="1051" w:type="pct"/>
                  <w:tcBorders>
                    <w:tl2br w:val="nil"/>
                    <w:tr2bl w:val="nil"/>
                  </w:tcBorders>
                  <w:shd w:val="clear" w:color="auto" w:fill="auto"/>
                  <w:noWrap w:val="0"/>
                  <w:vAlign w:val="center"/>
                </w:tcPr>
                <w:p w14:paraId="274EDF96">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废机油、含油手套</w:t>
                  </w:r>
                </w:p>
              </w:tc>
              <w:tc>
                <w:tcPr>
                  <w:tcW w:w="632" w:type="pct"/>
                  <w:tcBorders>
                    <w:tl2br w:val="nil"/>
                    <w:tr2bl w:val="nil"/>
                  </w:tcBorders>
                  <w:shd w:val="clear" w:color="auto" w:fill="auto"/>
                  <w:noWrap w:val="0"/>
                  <w:vAlign w:val="center"/>
                </w:tcPr>
                <w:p w14:paraId="672E3DAE">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间歇</w:t>
                  </w:r>
                </w:p>
              </w:tc>
              <w:tc>
                <w:tcPr>
                  <w:tcW w:w="1981" w:type="pct"/>
                  <w:tcBorders>
                    <w:tl2br w:val="nil"/>
                    <w:tr2bl w:val="nil"/>
                  </w:tcBorders>
                  <w:shd w:val="clear" w:color="auto" w:fill="auto"/>
                  <w:noWrap w:val="0"/>
                  <w:vAlign w:val="center"/>
                </w:tcPr>
                <w:p w14:paraId="123B7DFD">
                  <w:pPr>
                    <w:keepNext w:val="0"/>
                    <w:keepLines w:val="0"/>
                    <w:pageBreakBefore w:val="0"/>
                    <w:widowControl w:val="0"/>
                    <w:kinsoku/>
                    <w:wordWrap/>
                    <w:overflowPunct/>
                    <w:topLinePunct w:val="0"/>
                    <w:autoSpaceDE/>
                    <w:autoSpaceDN/>
                    <w:bidi w:val="0"/>
                    <w:adjustRightInd/>
                    <w:snapToGrid/>
                    <w:spacing w:before="157" w:beforeLines="50" w:beforeAutospacing="0" w:afterLines="0" w:afterAutospacing="0" w:line="360" w:lineRule="auto"/>
                    <w:ind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集中收集在危废暂存间，定期交由有危废处理资质的单位处理</w:t>
                  </w:r>
                </w:p>
              </w:tc>
            </w:tr>
          </w:tbl>
          <w:p w14:paraId="7B1CE365">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14:paraId="45D5C254">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tc>
      </w:tr>
      <w:tr w14:paraId="65997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40" w:type="pct"/>
            <w:noWrap w:val="0"/>
            <w:vAlign w:val="center"/>
          </w:tcPr>
          <w:p w14:paraId="63FC9371">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与项目有关的原有环境污染问题</w:t>
            </w:r>
          </w:p>
        </w:tc>
        <w:tc>
          <w:tcPr>
            <w:tcW w:w="4759" w:type="pct"/>
            <w:noWrap w:val="0"/>
            <w:vAlign w:val="top"/>
          </w:tcPr>
          <w:p w14:paraId="6CF2476F">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租用已有厂房建设，主要为安装设备，现有厂房为闲置厂房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不存在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与本项目有关的原有污染环境问题。</w:t>
            </w:r>
          </w:p>
          <w:p w14:paraId="0FA38DB6">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4C546696">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5500EB04">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 xml:space="preserve"> </w:t>
            </w:r>
          </w:p>
          <w:p w14:paraId="78C5835D">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00560C8">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5767A88E">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FA6EDAE">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22F4FE6E">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80F53EA">
            <w:pPr>
              <w:keepNext w:val="0"/>
              <w:keepLines w:val="0"/>
              <w:pageBreakBefore w:val="0"/>
              <w:kinsoku/>
              <w:wordWrap/>
              <w:overflowPunct/>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tc>
      </w:tr>
    </w:tbl>
    <w:p w14:paraId="11F2B747">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14:paraId="2D9974E7">
      <w:pPr>
        <w:pStyle w:val="3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15" w:lineRule="auto"/>
        <w:jc w:val="center"/>
        <w:textAlignment w:val="auto"/>
        <w:outlineLvl w:val="9"/>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p>
    <w:p w14:paraId="435309D0">
      <w:pPr>
        <w:pStyle w:val="30"/>
        <w:keepNext w:val="0"/>
        <w:keepLines w:val="0"/>
        <w:pageBreakBefore w:val="0"/>
        <w:kinsoku/>
        <w:wordWrap/>
        <w:overflowPunct/>
        <w:bidi w:val="0"/>
        <w:adjustRightInd/>
        <w:snapToGrid/>
        <w:spacing w:before="0" w:beforeLines="0" w:beforeAutospacing="0" w:after="0" w:afterLines="0" w:afterAutospacing="0"/>
        <w:ind w:left="0" w:leftChars="0" w:right="0" w:rightChars="0" w:firstLine="0" w:firstLineChars="0"/>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bookmarkStart w:id="7" w:name="_Toc13438"/>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三、区域环境质量现状、环境保护目标及评价标准</w:t>
      </w:r>
      <w:bookmarkEnd w:id="7"/>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8050"/>
      </w:tblGrid>
      <w:tr w14:paraId="34E6A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noWrap w:val="0"/>
            <w:vAlign w:val="center"/>
          </w:tcPr>
          <w:p w14:paraId="67062587">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区域</w:t>
            </w:r>
          </w:p>
          <w:p w14:paraId="127D6671">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w:t>
            </w:r>
          </w:p>
          <w:p w14:paraId="5A78A2BE">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质量</w:t>
            </w:r>
          </w:p>
          <w:p w14:paraId="3122333F">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现状</w:t>
            </w:r>
          </w:p>
        </w:tc>
        <w:tc>
          <w:tcPr>
            <w:tcW w:w="4723" w:type="pct"/>
            <w:noWrap w:val="0"/>
            <w:vAlign w:val="center"/>
          </w:tcPr>
          <w:p w14:paraId="6EC16A4D">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z w:val="24"/>
                <w:szCs w:val="24"/>
                <w:highlight w:val="none"/>
                <w14:textFill>
                  <w14:solidFill>
                    <w14:schemeClr w14:val="tx1"/>
                  </w14:solidFill>
                </w14:textFill>
              </w:rPr>
              <w:t>、环境空气</w:t>
            </w:r>
          </w:p>
          <w:p w14:paraId="2B3BAD28">
            <w:pPr>
              <w:keepLines w:val="0"/>
              <w:pageBreakBefore w:val="0"/>
              <w:kinsoku/>
              <w:bidi w:val="0"/>
              <w:snapToGrid/>
              <w:spacing w:beforeLines="0" w:afterLines="0" w:line="360" w:lineRule="auto"/>
              <w:ind w:firstLine="482" w:firstLineChars="200"/>
              <w:rPr>
                <w:rFonts w:hint="default" w:ascii="Times New Roman" w:hAnsi="Times New Roman" w:eastAsia="宋体" w:cs="Times New Roman"/>
                <w:b/>
                <w:bCs/>
                <w:snapToGrid/>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bCs/>
                <w:snapToGrid/>
                <w:color w:val="000000" w:themeColor="text1"/>
                <w:kern w:val="21"/>
                <w:sz w:val="24"/>
                <w:szCs w:val="24"/>
                <w:highlight w:val="none"/>
                <w14:textFill>
                  <w14:solidFill>
                    <w14:schemeClr w14:val="tx1"/>
                  </w14:solidFill>
                </w14:textFill>
              </w:rPr>
              <w:t>（1）环境空气质量达标区判定</w:t>
            </w:r>
          </w:p>
          <w:p w14:paraId="40674AB8">
            <w:pPr>
              <w:pStyle w:val="25"/>
              <w:spacing w:beforeLines="0" w:afterLines="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建设项目环境影响报告表编制技术指南（污染影响类）》（试行），大气环境常规污染物引用与建设项目距离近的有效数据，包括近3年的规划环境影响评价的监测数据，国家、地方环境空气质量监测网数据或生态环境主管部门公开发布的质量数据等。本次环境空气质量现状引用甘孜州生态环境局公布的《2023年1-12月各市（州）环境空气质量通报》中的数据来说明当地环境空气质量达标情况：甘孜州2023年环境空气质量全省排名第一名，满足《环境空气质量标准》（GB3095-2012）中二级标准。</w:t>
            </w:r>
          </w:p>
          <w:p w14:paraId="634FE306">
            <w:pPr>
              <w:pStyle w:val="33"/>
              <w:keepLines w:val="0"/>
              <w:pageBreakBefore w:val="0"/>
              <w:kinsoku/>
              <w:bidi w:val="0"/>
              <w:snapToGrid/>
              <w:spacing w:before="0" w:beforeLines="0" w:after="0" w:afterLines="0" w:line="360" w:lineRule="auto"/>
              <w:ind w:firstLine="482" w:firstLineChars="200"/>
              <w:rPr>
                <w:rFonts w:hint="default" w:ascii="Times New Roman" w:hAnsi="Times New Roman"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因此，本项目所在甘孜州甘孜县属于大气环境质量达标区。</w:t>
            </w:r>
          </w:p>
          <w:p w14:paraId="1B7055FC">
            <w:pPr>
              <w:pStyle w:val="33"/>
              <w:keepLines w:val="0"/>
              <w:pageBreakBefore w:val="0"/>
              <w:kinsoku/>
              <w:bidi w:val="0"/>
              <w:snapToGrid/>
              <w:spacing w:before="0" w:beforeLines="0" w:after="0" w:afterLines="0" w:line="360" w:lineRule="auto"/>
              <w:ind w:firstLine="482" w:firstLineChars="200"/>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）其他污染物现状监测</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评价</w:t>
            </w:r>
          </w:p>
          <w:p w14:paraId="64015ECD">
            <w:pPr>
              <w:pStyle w:val="33"/>
              <w:keepLines w:val="0"/>
              <w:pageBreakBefore w:val="0"/>
              <w:kinsoku/>
              <w:bidi w:val="0"/>
              <w:snapToGrid/>
              <w:spacing w:before="0" w:beforeLines="0" w:after="0" w:afterLines="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项目环境影响报告表编制技术指南》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5A2AA29B">
            <w:pPr>
              <w:keepLines w:val="0"/>
              <w:pageBreakBefore w:val="0"/>
              <w:kinsoku/>
              <w:autoSpaceDE w:val="0"/>
              <w:autoSpaceDN w:val="0"/>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本项目位于</w:t>
            </w:r>
            <w:r>
              <w:rPr>
                <w:rFonts w:hint="default" w:ascii="Times New Roman" w:hAnsi="Times New Roman" w:cs="Times New Roman"/>
                <w:color w:val="000000" w:themeColor="text1"/>
                <w:kern w:val="21"/>
                <w:sz w:val="24"/>
                <w:szCs w:val="24"/>
                <w:highlight w:val="none"/>
                <w:lang w:val="zh-CN" w:bidi="zh-CN"/>
                <w14:textFill>
                  <w14:solidFill>
                    <w14:schemeClr w14:val="tx1"/>
                  </w14:solidFill>
                </w14:textFill>
              </w:rPr>
              <w:t>四川省甘孜藏族自治州甘孜镇斯俄村</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w:t>
            </w:r>
            <w:r>
              <w:rPr>
                <w:rFonts w:hint="eastAsia" w:cs="Times New Roman"/>
                <w:color w:val="000000" w:themeColor="text1"/>
                <w:kern w:val="21"/>
                <w:sz w:val="24"/>
                <w:szCs w:val="24"/>
                <w:highlight w:val="none"/>
                <w:lang w:val="en-US" w:bidi="zh-CN"/>
                <w14:textFill>
                  <w14:solidFill>
                    <w14:schemeClr w14:val="tx1"/>
                  </w14:solidFill>
                </w14:textFill>
              </w:rPr>
              <w:t>本项目委托四川锡水金山环保科技有限公司于2025年9月18日-20日对甘孜州圣洁康巴砼业有限责任公司商砼站建设项目监测，监测点位位于本项目西北侧。</w:t>
            </w:r>
          </w:p>
          <w:p w14:paraId="58D0CC30">
            <w:pPr>
              <w:keepLines w:val="0"/>
              <w:pageBreakBefore w:val="0"/>
              <w:kinsoku/>
              <w:autoSpaceDE w:val="0"/>
              <w:autoSpaceDN w:val="0"/>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监测情况如下：</w:t>
            </w:r>
          </w:p>
          <w:p w14:paraId="4314742C">
            <w:pPr>
              <w:keepLines w:val="0"/>
              <w:pageBreakBefore w:val="0"/>
              <w:kinsoku/>
              <w:autoSpaceDE w:val="0"/>
              <w:autoSpaceDN w:val="0"/>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①监测项目：</w:t>
            </w: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总悬浮颗粒物</w:t>
            </w:r>
          </w:p>
          <w:p w14:paraId="73AEC2CA">
            <w:pPr>
              <w:keepLines w:val="0"/>
              <w:pageBreakBefore w:val="0"/>
              <w:kinsoku/>
              <w:autoSpaceDE w:val="0"/>
              <w:autoSpaceDN w:val="0"/>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②监测点位：见</w:t>
            </w:r>
            <w:r>
              <w:rPr>
                <w:rFonts w:hint="default" w:ascii="Times New Roman" w:hAnsi="Times New Roman" w:eastAsia="宋体" w:cs="Times New Roman"/>
                <w:color w:val="000000" w:themeColor="text1"/>
                <w:kern w:val="21"/>
                <w:sz w:val="24"/>
                <w:szCs w:val="24"/>
                <w:highlight w:val="none"/>
                <w:lang w:bidi="zh-CN"/>
                <w14:textFill>
                  <w14:solidFill>
                    <w14:schemeClr w14:val="tx1"/>
                  </w14:solidFill>
                </w14:textFill>
              </w:rPr>
              <w:t>下</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表。</w:t>
            </w:r>
          </w:p>
          <w:p w14:paraId="2537E2B7">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表3-</w:t>
            </w:r>
            <w:r>
              <w:rPr>
                <w:rFonts w:hint="eastAsia" w:cs="Times New Roman"/>
                <w:b/>
                <w:bCs/>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环境空气质量现状监测点位置</w:t>
            </w:r>
          </w:p>
          <w:tbl>
            <w:tblPr>
              <w:tblStyle w:val="3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202"/>
              <w:gridCol w:w="1216"/>
              <w:gridCol w:w="2"/>
              <w:gridCol w:w="1113"/>
              <w:gridCol w:w="810"/>
              <w:gridCol w:w="776"/>
              <w:gridCol w:w="1243"/>
              <w:gridCol w:w="1467"/>
            </w:tblGrid>
            <w:tr w14:paraId="269114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31" w:hRule="atLeast"/>
                <w:jc w:val="center"/>
              </w:trPr>
              <w:tc>
                <w:tcPr>
                  <w:tcW w:w="811" w:type="pct"/>
                  <w:vMerge w:val="restart"/>
                  <w:tcBorders>
                    <w:tl2br w:val="nil"/>
                    <w:tr2bl w:val="nil"/>
                  </w:tcBorders>
                  <w:shd w:val="clear" w:color="auto" w:fill="auto"/>
                  <w:noWrap w:val="0"/>
                  <w:vAlign w:val="center"/>
                </w:tcPr>
                <w:p w14:paraId="30188C8D">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监测点位名称</w:t>
                  </w:r>
                </w:p>
              </w:tc>
              <w:tc>
                <w:tcPr>
                  <w:tcW w:w="1269" w:type="pct"/>
                  <w:gridSpan w:val="3"/>
                  <w:tcBorders>
                    <w:tl2br w:val="nil"/>
                    <w:tr2bl w:val="nil"/>
                  </w:tcBorders>
                  <w:shd w:val="clear" w:color="auto" w:fill="auto"/>
                  <w:noWrap w:val="0"/>
                  <w:vAlign w:val="center"/>
                </w:tcPr>
                <w:p w14:paraId="6A9EDA8E">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监测点坐标/m</w:t>
                  </w:r>
                </w:p>
              </w:tc>
              <w:tc>
                <w:tcPr>
                  <w:tcW w:w="561" w:type="pct"/>
                  <w:vMerge w:val="restart"/>
                  <w:tcBorders>
                    <w:tl2br w:val="nil"/>
                    <w:tr2bl w:val="nil"/>
                  </w:tcBorders>
                  <w:shd w:val="clear" w:color="auto" w:fill="auto"/>
                  <w:noWrap w:val="0"/>
                  <w:vAlign w:val="center"/>
                </w:tcPr>
                <w:p w14:paraId="24E692B3">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监测因子</w:t>
                  </w:r>
                </w:p>
              </w:tc>
              <w:tc>
                <w:tcPr>
                  <w:tcW w:w="539" w:type="pct"/>
                  <w:vMerge w:val="restart"/>
                  <w:tcBorders>
                    <w:tl2br w:val="nil"/>
                    <w:tr2bl w:val="nil"/>
                  </w:tcBorders>
                  <w:shd w:val="clear" w:color="auto" w:fill="auto"/>
                  <w:noWrap w:val="0"/>
                  <w:vAlign w:val="center"/>
                </w:tcPr>
                <w:p w14:paraId="4F34804D">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监测时间</w:t>
                  </w:r>
                </w:p>
              </w:tc>
              <w:tc>
                <w:tcPr>
                  <w:tcW w:w="837" w:type="pct"/>
                  <w:vMerge w:val="restart"/>
                  <w:tcBorders>
                    <w:tl2br w:val="nil"/>
                    <w:tr2bl w:val="nil"/>
                  </w:tcBorders>
                  <w:shd w:val="clear" w:color="auto" w:fill="auto"/>
                  <w:noWrap w:val="0"/>
                  <w:vAlign w:val="center"/>
                </w:tcPr>
                <w:p w14:paraId="0E205B4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相对厂址方位</w:t>
                  </w:r>
                </w:p>
              </w:tc>
              <w:tc>
                <w:tcPr>
                  <w:tcW w:w="980" w:type="pct"/>
                  <w:vMerge w:val="restart"/>
                  <w:tcBorders>
                    <w:tl2br w:val="nil"/>
                    <w:tr2bl w:val="nil"/>
                  </w:tcBorders>
                  <w:shd w:val="clear" w:color="auto" w:fill="auto"/>
                  <w:noWrap w:val="0"/>
                  <w:vAlign w:val="center"/>
                </w:tcPr>
                <w:p w14:paraId="50DA072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相对厂界距离/m</w:t>
                  </w:r>
                </w:p>
              </w:tc>
            </w:tr>
            <w:tr w14:paraId="1949B3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811" w:type="pct"/>
                  <w:vMerge w:val="continue"/>
                  <w:tcBorders>
                    <w:tl2br w:val="nil"/>
                    <w:tr2bl w:val="nil"/>
                  </w:tcBorders>
                  <w:shd w:val="clear" w:color="auto" w:fill="auto"/>
                  <w:noWrap w:val="0"/>
                  <w:vAlign w:val="center"/>
                </w:tcPr>
                <w:p w14:paraId="38246E31">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p>
              </w:tc>
              <w:tc>
                <w:tcPr>
                  <w:tcW w:w="693" w:type="pct"/>
                  <w:tcBorders>
                    <w:tl2br w:val="nil"/>
                    <w:tr2bl w:val="nil"/>
                  </w:tcBorders>
                  <w:shd w:val="clear" w:color="auto" w:fill="auto"/>
                  <w:noWrap w:val="0"/>
                  <w:vAlign w:val="center"/>
                </w:tcPr>
                <w:p w14:paraId="3AD5EDEA">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X</w:t>
                  </w:r>
                </w:p>
              </w:tc>
              <w:tc>
                <w:tcPr>
                  <w:tcW w:w="576" w:type="pct"/>
                  <w:gridSpan w:val="2"/>
                  <w:tcBorders>
                    <w:tl2br w:val="nil"/>
                    <w:tr2bl w:val="nil"/>
                  </w:tcBorders>
                  <w:shd w:val="clear" w:color="auto" w:fill="auto"/>
                  <w:noWrap w:val="0"/>
                  <w:vAlign w:val="center"/>
                </w:tcPr>
                <w:p w14:paraId="4CBCD296">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Y</w:t>
                  </w:r>
                </w:p>
              </w:tc>
              <w:tc>
                <w:tcPr>
                  <w:tcW w:w="561" w:type="pct"/>
                  <w:vMerge w:val="continue"/>
                  <w:tcBorders>
                    <w:tl2br w:val="nil"/>
                    <w:tr2bl w:val="nil"/>
                  </w:tcBorders>
                  <w:shd w:val="clear" w:color="auto" w:fill="auto"/>
                  <w:noWrap w:val="0"/>
                  <w:vAlign w:val="center"/>
                </w:tcPr>
                <w:p w14:paraId="52986BF4">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539" w:type="pct"/>
                  <w:vMerge w:val="continue"/>
                  <w:tcBorders>
                    <w:tl2br w:val="nil"/>
                    <w:tr2bl w:val="nil"/>
                  </w:tcBorders>
                  <w:shd w:val="clear" w:color="auto" w:fill="auto"/>
                  <w:noWrap w:val="0"/>
                  <w:vAlign w:val="center"/>
                </w:tcPr>
                <w:p w14:paraId="0D6FE85A">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837" w:type="pct"/>
                  <w:vMerge w:val="continue"/>
                  <w:tcBorders>
                    <w:tl2br w:val="nil"/>
                    <w:tr2bl w:val="nil"/>
                  </w:tcBorders>
                  <w:shd w:val="clear" w:color="auto" w:fill="auto"/>
                  <w:noWrap w:val="0"/>
                  <w:vAlign w:val="center"/>
                </w:tcPr>
                <w:p w14:paraId="72F49A58">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980" w:type="pct"/>
                  <w:vMerge w:val="continue"/>
                  <w:tcBorders>
                    <w:tl2br w:val="nil"/>
                    <w:tr2bl w:val="nil"/>
                  </w:tcBorders>
                  <w:shd w:val="clear" w:color="auto" w:fill="auto"/>
                  <w:noWrap w:val="0"/>
                  <w:vAlign w:val="center"/>
                </w:tcPr>
                <w:p w14:paraId="6E4A0D4E">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r>
            <w:tr w14:paraId="669A08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11" w:type="pct"/>
                  <w:tcBorders>
                    <w:tl2br w:val="nil"/>
                    <w:tr2bl w:val="nil"/>
                  </w:tcBorders>
                  <w:shd w:val="clear" w:color="auto" w:fill="auto"/>
                  <w:noWrap w:val="0"/>
                  <w:vAlign w:val="center"/>
                </w:tcPr>
                <w:p w14:paraId="0A5F49BA">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t>G1</w:t>
                  </w:r>
                </w:p>
              </w:tc>
              <w:tc>
                <w:tcPr>
                  <w:tcW w:w="694" w:type="pct"/>
                  <w:gridSpan w:val="2"/>
                  <w:tcBorders>
                    <w:tl2br w:val="nil"/>
                    <w:tr2bl w:val="nil"/>
                  </w:tcBorders>
                  <w:shd w:val="clear" w:color="auto" w:fill="auto"/>
                  <w:noWrap w:val="0"/>
                  <w:vAlign w:val="center"/>
                </w:tcPr>
                <w:p w14:paraId="0CBBD020">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100.00616044</w:t>
                  </w:r>
                </w:p>
              </w:tc>
              <w:tc>
                <w:tcPr>
                  <w:tcW w:w="575" w:type="pct"/>
                  <w:tcBorders>
                    <w:tl2br w:val="nil"/>
                    <w:tr2bl w:val="nil"/>
                  </w:tcBorders>
                  <w:shd w:val="clear" w:color="auto" w:fill="auto"/>
                  <w:noWrap w:val="0"/>
                  <w:vAlign w:val="center"/>
                </w:tcPr>
                <w:p w14:paraId="476148E5">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31.61004303</w:t>
                  </w:r>
                </w:p>
              </w:tc>
              <w:tc>
                <w:tcPr>
                  <w:tcW w:w="561" w:type="pct"/>
                  <w:tcBorders>
                    <w:tl2br w:val="nil"/>
                    <w:tr2bl w:val="nil"/>
                  </w:tcBorders>
                  <w:shd w:val="clear" w:color="auto" w:fill="auto"/>
                  <w:noWrap w:val="0"/>
                  <w:vAlign w:val="center"/>
                </w:tcPr>
                <w:p w14:paraId="21ADFB1E">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t>总悬浮颗粒物</w:t>
                  </w:r>
                </w:p>
              </w:tc>
              <w:tc>
                <w:tcPr>
                  <w:tcW w:w="539" w:type="pct"/>
                  <w:tcBorders>
                    <w:tl2br w:val="nil"/>
                    <w:tr2bl w:val="nil"/>
                  </w:tcBorders>
                  <w:shd w:val="clear" w:color="auto" w:fill="auto"/>
                  <w:noWrap w:val="0"/>
                  <w:vAlign w:val="center"/>
                </w:tcPr>
                <w:p w14:paraId="6888B260">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3天</w:t>
                  </w:r>
                </w:p>
              </w:tc>
              <w:tc>
                <w:tcPr>
                  <w:tcW w:w="837" w:type="pct"/>
                  <w:tcBorders>
                    <w:tl2br w:val="nil"/>
                    <w:tr2bl w:val="nil"/>
                  </w:tcBorders>
                  <w:shd w:val="clear" w:color="auto" w:fill="auto"/>
                  <w:noWrap w:val="0"/>
                  <w:vAlign w:val="center"/>
                </w:tcPr>
                <w:p w14:paraId="4AC40729">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eastAsia" w:cs="Times New Roman"/>
                      <w:color w:val="000000" w:themeColor="text1"/>
                      <w:kern w:val="21"/>
                      <w:sz w:val="21"/>
                      <w:szCs w:val="21"/>
                      <w:highlight w:val="none"/>
                      <w:lang w:val="en-US" w:bidi="zh-CN"/>
                      <w14:textFill>
                        <w14:solidFill>
                          <w14:schemeClr w14:val="tx1"/>
                        </w14:solidFill>
                      </w14:textFill>
                    </w:rPr>
                    <w:t>西北</w:t>
                  </w:r>
                </w:p>
              </w:tc>
              <w:tc>
                <w:tcPr>
                  <w:tcW w:w="980" w:type="pct"/>
                  <w:tcBorders>
                    <w:tl2br w:val="nil"/>
                    <w:tr2bl w:val="nil"/>
                  </w:tcBorders>
                  <w:shd w:val="clear" w:color="auto" w:fill="auto"/>
                  <w:noWrap w:val="0"/>
                  <w:vAlign w:val="center"/>
                </w:tcPr>
                <w:p w14:paraId="016F608C">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bidi="zh-CN"/>
                      <w14:textFill>
                        <w14:solidFill>
                          <w14:schemeClr w14:val="tx1"/>
                        </w14:solidFill>
                      </w14:textFill>
                    </w:rPr>
                  </w:pPr>
                  <w:r>
                    <w:rPr>
                      <w:rFonts w:hint="eastAsia" w:cs="Times New Roman"/>
                      <w:color w:val="000000" w:themeColor="text1"/>
                      <w:kern w:val="21"/>
                      <w:sz w:val="21"/>
                      <w:szCs w:val="21"/>
                      <w:highlight w:val="none"/>
                      <w:lang w:val="en-US" w:bidi="zh-CN"/>
                      <w14:textFill>
                        <w14:solidFill>
                          <w14:schemeClr w14:val="tx1"/>
                        </w14:solidFill>
                      </w14:textFill>
                    </w:rPr>
                    <w:t>80</w:t>
                  </w:r>
                  <w:r>
                    <w:rPr>
                      <w:rFonts w:hint="default" w:ascii="Times New Roman" w:hAnsi="Times New Roman" w:eastAsia="宋体" w:cs="Times New Roman"/>
                      <w:color w:val="000000" w:themeColor="text1"/>
                      <w:kern w:val="21"/>
                      <w:sz w:val="21"/>
                      <w:szCs w:val="21"/>
                      <w:highlight w:val="none"/>
                      <w:lang w:bidi="zh-CN"/>
                      <w14:textFill>
                        <w14:solidFill>
                          <w14:schemeClr w14:val="tx1"/>
                        </w14:solidFill>
                      </w14:textFill>
                    </w:rPr>
                    <w:t>m</w:t>
                  </w:r>
                </w:p>
              </w:tc>
            </w:tr>
          </w:tbl>
          <w:p w14:paraId="67C9635F">
            <w:pPr>
              <w:keepLines w:val="0"/>
              <w:pageBreakBefore w:val="0"/>
              <w:kinsoku/>
              <w:autoSpaceDE w:val="0"/>
              <w:autoSpaceDN w:val="0"/>
              <w:bidi w:val="0"/>
              <w:snapToGrid/>
              <w:spacing w:beforeLines="0" w:afterLines="0" w:line="360" w:lineRule="auto"/>
              <w:ind w:firstLine="480" w:firstLineChars="200"/>
              <w:jc w:val="both"/>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③监测数据的监测时间：2025年9月18日-20日，连续监测</w:t>
            </w:r>
            <w:r>
              <w:rPr>
                <w:rFonts w:hint="default" w:ascii="Times New Roman" w:hAnsi="Times New Roman" w:eastAsia="宋体" w:cs="Times New Roman"/>
                <w:color w:val="000000" w:themeColor="text1"/>
                <w:kern w:val="21"/>
                <w:sz w:val="24"/>
                <w:szCs w:val="24"/>
                <w:highlight w:val="none"/>
                <w:lang w:bidi="zh-CN"/>
                <w14:textFill>
                  <w14:solidFill>
                    <w14:schemeClr w14:val="tx1"/>
                  </w14:solidFill>
                </w14:textFill>
              </w:rPr>
              <w:t>3</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天。</w:t>
            </w:r>
          </w:p>
          <w:p w14:paraId="431FFC91">
            <w:pPr>
              <w:keepLines w:val="0"/>
              <w:pageBreakBefore w:val="0"/>
              <w:kinsoku/>
              <w:autoSpaceDE w:val="0"/>
              <w:autoSpaceDN w:val="0"/>
              <w:bidi w:val="0"/>
              <w:snapToGrid/>
              <w:spacing w:beforeLines="0" w:afterLines="0" w:line="360" w:lineRule="auto"/>
              <w:ind w:left="0" w:firstLine="480" w:firstLineChars="200"/>
              <w:jc w:val="both"/>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④监测结果见</w:t>
            </w:r>
            <w:r>
              <w:rPr>
                <w:rFonts w:hint="default" w:ascii="Times New Roman" w:hAnsi="Times New Roman" w:eastAsia="宋体" w:cs="Times New Roman"/>
                <w:color w:val="000000" w:themeColor="text1"/>
                <w:kern w:val="21"/>
                <w:sz w:val="24"/>
                <w:szCs w:val="24"/>
                <w:highlight w:val="none"/>
                <w:lang w:bidi="zh-CN"/>
                <w14:textFill>
                  <w14:solidFill>
                    <w14:schemeClr w14:val="tx1"/>
                  </w14:solidFill>
                </w14:textFill>
              </w:rPr>
              <w:t>下</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表。</w:t>
            </w:r>
          </w:p>
          <w:p w14:paraId="2AA6252A">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表3-</w:t>
            </w:r>
            <w:r>
              <w:rPr>
                <w:rFonts w:hint="eastAsia"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 xml:space="preserve"> 大气监测结果（单位：</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g/m³）</w:t>
            </w:r>
          </w:p>
          <w:tbl>
            <w:tblPr>
              <w:tblStyle w:val="35"/>
              <w:tblW w:w="7831" w:type="dxa"/>
              <w:jc w:val="center"/>
              <w:tblBorders>
                <w:top w:val="single" w:color="000000" w:sz="4" w:space="0"/>
                <w:left w:val="none" w:color="auto" w:sz="0" w:space="0"/>
                <w:bottom w:val="single" w:color="000000" w:sz="2" w:space="0"/>
                <w:right w:val="none" w:color="auto" w:sz="0"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3094"/>
              <w:gridCol w:w="1481"/>
              <w:gridCol w:w="1597"/>
              <w:gridCol w:w="1659"/>
            </w:tblGrid>
            <w:tr w14:paraId="5F5028EB">
              <w:tblPrEx>
                <w:tblBorders>
                  <w:top w:val="single" w:color="000000" w:sz="4"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168" w:type="dxa"/>
                  <w:vMerge w:val="restart"/>
                  <w:tcBorders>
                    <w:tl2br w:val="nil"/>
                    <w:tr2bl w:val="nil"/>
                  </w:tcBorders>
                  <w:shd w:val="clear" w:color="auto" w:fill="auto"/>
                  <w:noWrap w:val="0"/>
                  <w:vAlign w:val="center"/>
                </w:tcPr>
                <w:p w14:paraId="2C0220A9">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监测项目</w:t>
                  </w:r>
                </w:p>
              </w:tc>
              <w:tc>
                <w:tcPr>
                  <w:tcW w:w="4663" w:type="dxa"/>
                  <w:gridSpan w:val="3"/>
                  <w:tcBorders>
                    <w:tl2br w:val="nil"/>
                    <w:tr2bl w:val="nil"/>
                  </w:tcBorders>
                  <w:shd w:val="clear" w:color="auto" w:fill="auto"/>
                  <w:noWrap w:val="0"/>
                  <w:vAlign w:val="center"/>
                </w:tcPr>
                <w:p w14:paraId="56849AEF">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监测点位、日期及结果</w:t>
                  </w:r>
                </w:p>
              </w:tc>
            </w:tr>
            <w:tr w14:paraId="4E900E00">
              <w:tblPrEx>
                <w:tblBorders>
                  <w:top w:val="single" w:color="000000" w:sz="4"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3168" w:type="dxa"/>
                  <w:vMerge w:val="continue"/>
                  <w:tcBorders>
                    <w:tl2br w:val="nil"/>
                    <w:tr2bl w:val="nil"/>
                  </w:tcBorders>
                  <w:shd w:val="clear" w:color="auto" w:fill="auto"/>
                  <w:noWrap w:val="0"/>
                  <w:vAlign w:val="center"/>
                </w:tcPr>
                <w:p w14:paraId="45A4976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1513" w:type="dxa"/>
                  <w:tcBorders>
                    <w:tl2br w:val="nil"/>
                    <w:tr2bl w:val="nil"/>
                  </w:tcBorders>
                  <w:shd w:val="clear" w:color="auto" w:fill="auto"/>
                  <w:noWrap w:val="0"/>
                  <w:vAlign w:val="center"/>
                </w:tcPr>
                <w:p w14:paraId="502A329F">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G1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月1</w:t>
                  </w:r>
                  <w:r>
                    <w:rPr>
                      <w:rFonts w:hint="eastAsia"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日）</w:t>
                  </w:r>
                </w:p>
              </w:tc>
              <w:tc>
                <w:tcPr>
                  <w:tcW w:w="1633" w:type="dxa"/>
                  <w:tcBorders>
                    <w:tl2br w:val="nil"/>
                    <w:tr2bl w:val="nil"/>
                  </w:tcBorders>
                  <w:shd w:val="clear" w:color="auto" w:fill="auto"/>
                  <w:noWrap w:val="0"/>
                  <w:vAlign w:val="center"/>
                </w:tcPr>
                <w:p w14:paraId="199C313A">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G1（</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月1</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日）</w:t>
                  </w:r>
                </w:p>
              </w:tc>
              <w:tc>
                <w:tcPr>
                  <w:tcW w:w="0" w:type="auto"/>
                  <w:tcBorders>
                    <w:tl2br w:val="nil"/>
                    <w:tr2bl w:val="nil"/>
                  </w:tcBorders>
                  <w:shd w:val="clear" w:color="auto" w:fill="auto"/>
                  <w:noWrap w:val="0"/>
                  <w:vAlign w:val="center"/>
                </w:tcPr>
                <w:p w14:paraId="60275622">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G1（</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月</w:t>
                  </w:r>
                  <w:r>
                    <w:rPr>
                      <w:rFonts w:hint="eastAsia" w:cs="Times New Roman"/>
                      <w:b/>
                      <w:bCs/>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日）</w:t>
                  </w:r>
                </w:p>
              </w:tc>
            </w:tr>
            <w:tr w14:paraId="5F20F6BA">
              <w:tblPrEx>
                <w:tblBorders>
                  <w:top w:val="single" w:color="000000" w:sz="4"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48" w:hRule="atLeast"/>
                <w:jc w:val="center"/>
              </w:trPr>
              <w:tc>
                <w:tcPr>
                  <w:tcW w:w="3168" w:type="dxa"/>
                  <w:tcBorders>
                    <w:tl2br w:val="nil"/>
                    <w:tr2bl w:val="nil"/>
                  </w:tcBorders>
                  <w:shd w:val="clear" w:color="auto" w:fill="auto"/>
                  <w:noWrap w:val="0"/>
                  <w:vAlign w:val="center"/>
                </w:tcPr>
                <w:p w14:paraId="73AEFAAD">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总悬浮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u</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g/m³）</w:t>
                  </w:r>
                </w:p>
              </w:tc>
              <w:tc>
                <w:tcPr>
                  <w:tcW w:w="1513" w:type="dxa"/>
                  <w:tcBorders>
                    <w:tl2br w:val="nil"/>
                    <w:tr2bl w:val="nil"/>
                  </w:tcBorders>
                  <w:shd w:val="clear" w:color="auto" w:fill="auto"/>
                  <w:noWrap w:val="0"/>
                  <w:vAlign w:val="center"/>
                </w:tcPr>
                <w:p w14:paraId="6B69B98F">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84</w:t>
                  </w:r>
                </w:p>
              </w:tc>
              <w:tc>
                <w:tcPr>
                  <w:tcW w:w="1633" w:type="dxa"/>
                  <w:tcBorders>
                    <w:tl2br w:val="nil"/>
                    <w:tr2bl w:val="nil"/>
                  </w:tcBorders>
                  <w:shd w:val="clear" w:color="auto" w:fill="auto"/>
                  <w:noWrap w:val="0"/>
                  <w:vAlign w:val="center"/>
                </w:tcPr>
                <w:p w14:paraId="663ACF8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79</w:t>
                  </w:r>
                </w:p>
              </w:tc>
              <w:tc>
                <w:tcPr>
                  <w:tcW w:w="0" w:type="auto"/>
                  <w:tcBorders>
                    <w:tl2br w:val="nil"/>
                    <w:tr2bl w:val="nil"/>
                  </w:tcBorders>
                  <w:shd w:val="clear" w:color="auto" w:fill="auto"/>
                  <w:noWrap w:val="0"/>
                  <w:vAlign w:val="center"/>
                </w:tcPr>
                <w:p w14:paraId="6C94754C">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71</w:t>
                  </w:r>
                </w:p>
              </w:tc>
            </w:tr>
          </w:tbl>
          <w:p w14:paraId="1ADD36EB">
            <w:pPr>
              <w:keepLines w:val="0"/>
              <w:pageBreakBefore w:val="0"/>
              <w:numPr>
                <w:ilvl w:val="0"/>
                <w:numId w:val="0"/>
              </w:numPr>
              <w:tabs>
                <w:tab w:val="left" w:pos="1333"/>
              </w:tabs>
              <w:kinsoku/>
              <w:autoSpaceDE w:val="0"/>
              <w:autoSpaceDN w:val="0"/>
              <w:bidi w:val="0"/>
              <w:snapToGrid/>
              <w:spacing w:beforeLines="0" w:afterLines="0" w:line="360" w:lineRule="auto"/>
              <w:ind w:left="420" w:leftChars="200" w:firstLine="0" w:firstLineChars="0"/>
              <w:rPr>
                <w:rFonts w:hint="default" w:ascii="Times New Roman" w:hAnsi="Times New Roman" w:eastAsia="宋体" w:cs="Times New Roman"/>
                <w:b w:val="0"/>
                <w:bCs w:val="0"/>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bidi="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lang w:val="zh-CN" w:bidi="zh-CN"/>
                <w14:textFill>
                  <w14:solidFill>
                    <w14:schemeClr w14:val="tx1"/>
                  </w14:solidFill>
                </w14:textFill>
              </w:rPr>
              <w:t>环境空气质量现状评价</w:t>
            </w:r>
          </w:p>
          <w:p w14:paraId="7AEB36AB">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①评价因子</w:t>
            </w:r>
          </w:p>
          <w:p w14:paraId="0FAF10F2">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根据项目特点，确定评价因子为：</w:t>
            </w: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总悬浮颗粒物</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w:t>
            </w:r>
          </w:p>
          <w:p w14:paraId="47055F9C">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②评价标准</w:t>
            </w:r>
          </w:p>
          <w:p w14:paraId="646032F5">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总悬浮颗粒物执行</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《环境空气质量标准》（GB3095-2012）二级标准及2018修改单要求。</w:t>
            </w:r>
          </w:p>
          <w:p w14:paraId="4364CC2A">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③评价方法</w:t>
            </w:r>
          </w:p>
          <w:p w14:paraId="66640B1E">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采用单因子指数法进行评价，评价公式如下：</w:t>
            </w:r>
          </w:p>
          <w:p w14:paraId="05B9A239">
            <w:pPr>
              <w:keepLines w:val="0"/>
              <w:pageBreakBefore w:val="0"/>
              <w:kinsoku/>
              <w:autoSpaceDE w:val="0"/>
              <w:autoSpaceDN w:val="0"/>
              <w:bidi w:val="0"/>
              <w:snapToGrid/>
              <w:spacing w:beforeLines="0" w:afterLines="0" w:line="360" w:lineRule="auto"/>
              <w:jc w:val="cente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P</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=C</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/S</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p>
          <w:p w14:paraId="3E709ACA">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式中：</w:t>
            </w:r>
          </w:p>
          <w:p w14:paraId="0B4731F3">
            <w:pPr>
              <w:keepLines w:val="0"/>
              <w:pageBreakBefore w:val="0"/>
              <w:kinsoku/>
              <w:autoSpaceDE w:val="0"/>
              <w:autoSpaceDN w:val="0"/>
              <w:bidi w:val="0"/>
              <w:snapToGrid/>
              <w:spacing w:beforeLines="0" w:afterLines="0" w:line="360" w:lineRule="auto"/>
              <w:ind w:firstLine="960" w:firstLineChars="4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P</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—i种污染物的单项指数；</w:t>
            </w:r>
          </w:p>
          <w:p w14:paraId="50B31B11">
            <w:pPr>
              <w:keepLines w:val="0"/>
              <w:pageBreakBefore w:val="0"/>
              <w:kinsoku/>
              <w:autoSpaceDE w:val="0"/>
              <w:autoSpaceDN w:val="0"/>
              <w:bidi w:val="0"/>
              <w:snapToGrid/>
              <w:spacing w:beforeLines="0" w:afterLines="0" w:line="360" w:lineRule="auto"/>
              <w:ind w:firstLine="960" w:firstLineChars="4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C</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—i种污染物的实测浓度（mg/Nm³）；</w:t>
            </w:r>
          </w:p>
          <w:p w14:paraId="41797DDD">
            <w:pPr>
              <w:keepLines w:val="0"/>
              <w:pageBreakBefore w:val="0"/>
              <w:kinsoku/>
              <w:autoSpaceDE w:val="0"/>
              <w:autoSpaceDN w:val="0"/>
              <w:bidi w:val="0"/>
              <w:snapToGrid/>
              <w:spacing w:beforeLines="0" w:afterLines="0" w:line="360" w:lineRule="auto"/>
              <w:ind w:firstLine="960" w:firstLineChars="4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S</w:t>
            </w:r>
            <w:r>
              <w:rPr>
                <w:rFonts w:hint="default" w:ascii="Times New Roman" w:hAnsi="Times New Roman" w:eastAsia="宋体" w:cs="Times New Roman"/>
                <w:color w:val="000000" w:themeColor="text1"/>
                <w:kern w:val="21"/>
                <w:position w:val="0"/>
                <w:sz w:val="24"/>
                <w:szCs w:val="24"/>
                <w:highlight w:val="none"/>
                <w:vertAlign w:val="subscript"/>
                <w:lang w:val="zh-CN" w:bidi="zh-CN"/>
                <w14:textFill>
                  <w14:solidFill>
                    <w14:schemeClr w14:val="tx1"/>
                  </w14:solidFill>
                </w14:textFill>
              </w:rPr>
              <w:t>i</w:t>
            </w:r>
            <w:r>
              <w:rPr>
                <w:rFonts w:hint="default" w:ascii="Times New Roman" w:hAnsi="Times New Roman" w:eastAsia="宋体" w:cs="Times New Roman"/>
                <w:color w:val="000000" w:themeColor="text1"/>
                <w:kern w:val="21"/>
                <w:position w:val="0"/>
                <w:sz w:val="24"/>
                <w:szCs w:val="24"/>
                <w:highlight w:val="none"/>
                <w:lang w:val="zh-CN" w:bidi="zh-CN"/>
                <w14:textFill>
                  <w14:solidFill>
                    <w14:schemeClr w14:val="tx1"/>
                  </w14:solidFill>
                </w14:textFill>
              </w:rPr>
              <w:t>—i种污染物的评价标准（mg/Nm³）；</w:t>
            </w:r>
          </w:p>
          <w:p w14:paraId="76012EC9">
            <w:pPr>
              <w:keepLines w:val="0"/>
              <w:pageBreakBefore w:val="0"/>
              <w:kinsoku/>
              <w:autoSpaceDE w:val="0"/>
              <w:autoSpaceDN w:val="0"/>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当Pi≥1.0时，表明大气环境已受到该项评价因子所表征的污染物的污染，Pi值越大，受污染程度越重，反之则污染程度越小。</w:t>
            </w:r>
          </w:p>
          <w:p w14:paraId="4A24AC42">
            <w:pPr>
              <w:keepLines w:val="0"/>
              <w:pageBreakBefore w:val="0"/>
              <w:kinsoku/>
              <w:autoSpaceDE w:val="0"/>
              <w:autoSpaceDN w:val="0"/>
              <w:bidi w:val="0"/>
              <w:snapToGrid/>
              <w:spacing w:beforeLines="0" w:afterLines="0" w:line="360" w:lineRule="auto"/>
              <w:ind w:firstLine="480" w:firstLineChars="200"/>
              <w:jc w:val="left"/>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④评价结果：评价结果见</w:t>
            </w: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下表</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w:t>
            </w:r>
          </w:p>
          <w:p w14:paraId="011BDEF8">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表3-</w:t>
            </w:r>
            <w:r>
              <w:rPr>
                <w:rFonts w:hint="eastAsia" w:cs="Times New Roman"/>
                <w:b/>
                <w:bCs/>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szCs w:val="24"/>
                <w:highlight w:val="none"/>
                <w:lang w:val="zh-CN" w:eastAsia="zh-CN"/>
                <w14:textFill>
                  <w14:solidFill>
                    <w14:schemeClr w14:val="tx1"/>
                  </w14:solidFill>
                </w14:textFill>
              </w:rPr>
              <w:t xml:space="preserve"> 大气环境质量现状评价结果</w:t>
            </w:r>
          </w:p>
          <w:tbl>
            <w:tblPr>
              <w:tblStyle w:val="3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87"/>
              <w:gridCol w:w="1218"/>
              <w:gridCol w:w="1113"/>
              <w:gridCol w:w="787"/>
              <w:gridCol w:w="509"/>
              <w:gridCol w:w="1008"/>
              <w:gridCol w:w="1025"/>
              <w:gridCol w:w="596"/>
              <w:gridCol w:w="559"/>
              <w:gridCol w:w="227"/>
            </w:tblGrid>
            <w:tr w14:paraId="1C4734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31" w:hRule="atLeast"/>
                <w:jc w:val="center"/>
              </w:trPr>
              <w:tc>
                <w:tcPr>
                  <w:tcW w:w="562" w:type="pct"/>
                  <w:vMerge w:val="restart"/>
                  <w:tcBorders>
                    <w:tl2br w:val="nil"/>
                    <w:tr2bl w:val="nil"/>
                  </w:tcBorders>
                  <w:shd w:val="clear" w:color="auto" w:fill="auto"/>
                  <w:noWrap w:val="0"/>
                  <w:vAlign w:val="center"/>
                </w:tcPr>
                <w:p w14:paraId="2827EDB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监测点位名称</w:t>
                  </w:r>
                </w:p>
              </w:tc>
              <w:tc>
                <w:tcPr>
                  <w:tcW w:w="1180" w:type="pct"/>
                  <w:gridSpan w:val="2"/>
                  <w:tcBorders>
                    <w:tl2br w:val="nil"/>
                    <w:tr2bl w:val="nil"/>
                  </w:tcBorders>
                  <w:shd w:val="clear" w:color="auto" w:fill="auto"/>
                  <w:noWrap w:val="0"/>
                  <w:vAlign w:val="center"/>
                </w:tcPr>
                <w:p w14:paraId="538F36DB">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监测点坐标/m</w:t>
                  </w:r>
                </w:p>
              </w:tc>
              <w:tc>
                <w:tcPr>
                  <w:tcW w:w="562" w:type="pct"/>
                  <w:vMerge w:val="restart"/>
                  <w:tcBorders>
                    <w:tl2br w:val="nil"/>
                    <w:tr2bl w:val="nil"/>
                  </w:tcBorders>
                  <w:shd w:val="clear" w:color="auto" w:fill="auto"/>
                  <w:noWrap w:val="0"/>
                  <w:vAlign w:val="center"/>
                </w:tcPr>
                <w:p w14:paraId="5884C609">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污染物</w:t>
                  </w:r>
                </w:p>
              </w:tc>
              <w:tc>
                <w:tcPr>
                  <w:tcW w:w="385" w:type="pct"/>
                  <w:vMerge w:val="restart"/>
                  <w:tcBorders>
                    <w:tl2br w:val="nil"/>
                    <w:tr2bl w:val="nil"/>
                  </w:tcBorders>
                  <w:shd w:val="clear" w:color="auto" w:fill="auto"/>
                  <w:noWrap w:val="0"/>
                  <w:vAlign w:val="center"/>
                </w:tcPr>
                <w:p w14:paraId="13BF95D4">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平均时间</w:t>
                  </w:r>
                </w:p>
              </w:tc>
              <w:tc>
                <w:tcPr>
                  <w:tcW w:w="534" w:type="pct"/>
                  <w:vMerge w:val="restart"/>
                  <w:tcBorders>
                    <w:tl2br w:val="nil"/>
                    <w:tr2bl w:val="nil"/>
                  </w:tcBorders>
                  <w:shd w:val="clear" w:color="auto" w:fill="auto"/>
                  <w:noWrap w:val="0"/>
                  <w:vAlign w:val="center"/>
                </w:tcPr>
                <w:p w14:paraId="54B14E26">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 xml:space="preserve">评价标准/ </w:t>
                  </w:r>
                </w:p>
                <w:p w14:paraId="28576C48">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（mg/m³）</w:t>
                  </w:r>
                </w:p>
              </w:tc>
              <w:tc>
                <w:tcPr>
                  <w:tcW w:w="673" w:type="pct"/>
                  <w:vMerge w:val="restart"/>
                  <w:tcBorders>
                    <w:tl2br w:val="nil"/>
                    <w:tr2bl w:val="nil"/>
                  </w:tcBorders>
                  <w:shd w:val="clear" w:color="auto" w:fill="auto"/>
                  <w:noWrap w:val="0"/>
                  <w:vAlign w:val="center"/>
                </w:tcPr>
                <w:p w14:paraId="7C351782">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 xml:space="preserve">监测浓度范围/ </w:t>
                  </w:r>
                </w:p>
                <w:p w14:paraId="4274ED7B">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（mg/m³）</w:t>
                  </w:r>
                </w:p>
              </w:tc>
              <w:tc>
                <w:tcPr>
                  <w:tcW w:w="481" w:type="pct"/>
                  <w:vMerge w:val="restart"/>
                  <w:tcBorders>
                    <w:tl2br w:val="nil"/>
                    <w:tr2bl w:val="nil"/>
                  </w:tcBorders>
                  <w:shd w:val="clear" w:color="auto" w:fill="auto"/>
                  <w:noWrap w:val="0"/>
                  <w:vAlign w:val="center"/>
                </w:tcPr>
                <w:p w14:paraId="18A6D05C">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最大浓度占标率/%</w:t>
                  </w:r>
                </w:p>
              </w:tc>
              <w:tc>
                <w:tcPr>
                  <w:tcW w:w="416" w:type="pct"/>
                  <w:vMerge w:val="restart"/>
                  <w:tcBorders>
                    <w:tl2br w:val="nil"/>
                    <w:tr2bl w:val="nil"/>
                  </w:tcBorders>
                  <w:shd w:val="clear" w:color="auto" w:fill="auto"/>
                  <w:noWrap w:val="0"/>
                  <w:vAlign w:val="center"/>
                </w:tcPr>
                <w:p w14:paraId="0C17471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超标率/%</w:t>
                  </w:r>
                </w:p>
              </w:tc>
              <w:tc>
                <w:tcPr>
                  <w:tcW w:w="204" w:type="pct"/>
                  <w:vMerge w:val="restart"/>
                  <w:tcBorders>
                    <w:tl2br w:val="nil"/>
                    <w:tr2bl w:val="nil"/>
                  </w:tcBorders>
                  <w:shd w:val="clear" w:color="auto" w:fill="auto"/>
                  <w:noWrap w:val="0"/>
                  <w:vAlign w:val="center"/>
                </w:tcPr>
                <w:p w14:paraId="249A0515">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 xml:space="preserve">达标 </w:t>
                  </w:r>
                </w:p>
                <w:p w14:paraId="31D7C2DA">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情况</w:t>
                  </w:r>
                </w:p>
              </w:tc>
            </w:tr>
            <w:tr w14:paraId="1678E77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31" w:hRule="atLeast"/>
                <w:jc w:val="center"/>
              </w:trPr>
              <w:tc>
                <w:tcPr>
                  <w:tcW w:w="562" w:type="pct"/>
                  <w:vMerge w:val="continue"/>
                  <w:tcBorders>
                    <w:tl2br w:val="nil"/>
                    <w:tr2bl w:val="nil"/>
                  </w:tcBorders>
                  <w:shd w:val="clear" w:color="auto" w:fill="auto"/>
                  <w:noWrap w:val="0"/>
                  <w:vAlign w:val="center"/>
                </w:tcPr>
                <w:p w14:paraId="1F527B5E">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45" w:type="pct"/>
                  <w:tcBorders>
                    <w:tl2br w:val="nil"/>
                    <w:tr2bl w:val="nil"/>
                  </w:tcBorders>
                  <w:shd w:val="clear" w:color="auto" w:fill="auto"/>
                  <w:noWrap w:val="0"/>
                  <w:vAlign w:val="center"/>
                </w:tcPr>
                <w:p w14:paraId="444BC1F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X</w:t>
                  </w:r>
                </w:p>
              </w:tc>
              <w:tc>
                <w:tcPr>
                  <w:tcW w:w="534" w:type="pct"/>
                  <w:tcBorders>
                    <w:tl2br w:val="nil"/>
                    <w:tr2bl w:val="nil"/>
                  </w:tcBorders>
                  <w:shd w:val="clear" w:color="auto" w:fill="auto"/>
                  <w:noWrap w:val="0"/>
                  <w:vAlign w:val="center"/>
                </w:tcPr>
                <w:p w14:paraId="79EF8283">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t>Y</w:t>
                  </w:r>
                </w:p>
              </w:tc>
              <w:tc>
                <w:tcPr>
                  <w:tcW w:w="562" w:type="pct"/>
                  <w:vMerge w:val="continue"/>
                  <w:tcBorders>
                    <w:tl2br w:val="nil"/>
                    <w:tr2bl w:val="nil"/>
                  </w:tcBorders>
                  <w:shd w:val="clear" w:color="auto" w:fill="auto"/>
                  <w:noWrap w:val="0"/>
                  <w:vAlign w:val="center"/>
                </w:tcPr>
                <w:p w14:paraId="3EC4FC05">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385" w:type="pct"/>
                  <w:vMerge w:val="continue"/>
                  <w:tcBorders>
                    <w:tl2br w:val="nil"/>
                    <w:tr2bl w:val="nil"/>
                  </w:tcBorders>
                  <w:shd w:val="clear" w:color="auto" w:fill="auto"/>
                  <w:noWrap w:val="0"/>
                  <w:vAlign w:val="center"/>
                </w:tcPr>
                <w:p w14:paraId="1F7EF496">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534" w:type="pct"/>
                  <w:vMerge w:val="continue"/>
                  <w:tcBorders>
                    <w:tl2br w:val="nil"/>
                    <w:tr2bl w:val="nil"/>
                  </w:tcBorders>
                  <w:shd w:val="clear" w:color="auto" w:fill="auto"/>
                  <w:noWrap w:val="0"/>
                  <w:vAlign w:val="center"/>
                </w:tcPr>
                <w:p w14:paraId="623A2DB0">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673" w:type="pct"/>
                  <w:vMerge w:val="continue"/>
                  <w:tcBorders>
                    <w:tl2br w:val="nil"/>
                    <w:tr2bl w:val="nil"/>
                  </w:tcBorders>
                  <w:shd w:val="clear" w:color="auto" w:fill="auto"/>
                  <w:noWrap w:val="0"/>
                  <w:vAlign w:val="center"/>
                </w:tcPr>
                <w:p w14:paraId="6E6C5D7F">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481" w:type="pct"/>
                  <w:vMerge w:val="continue"/>
                  <w:tcBorders>
                    <w:tl2br w:val="nil"/>
                    <w:tr2bl w:val="nil"/>
                  </w:tcBorders>
                  <w:shd w:val="clear" w:color="auto" w:fill="auto"/>
                  <w:noWrap w:val="0"/>
                  <w:vAlign w:val="center"/>
                </w:tcPr>
                <w:p w14:paraId="1D9B0C75">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416" w:type="pct"/>
                  <w:vMerge w:val="continue"/>
                  <w:tcBorders>
                    <w:tl2br w:val="nil"/>
                    <w:tr2bl w:val="nil"/>
                  </w:tcBorders>
                  <w:shd w:val="clear" w:color="auto" w:fill="auto"/>
                  <w:noWrap w:val="0"/>
                  <w:vAlign w:val="center"/>
                </w:tcPr>
                <w:p w14:paraId="5C925383">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c>
                <w:tcPr>
                  <w:tcW w:w="204" w:type="pct"/>
                  <w:vMerge w:val="continue"/>
                  <w:tcBorders>
                    <w:tl2br w:val="nil"/>
                    <w:tr2bl w:val="nil"/>
                  </w:tcBorders>
                  <w:shd w:val="clear" w:color="auto" w:fill="auto"/>
                  <w:noWrap w:val="0"/>
                  <w:vAlign w:val="center"/>
                </w:tcPr>
                <w:p w14:paraId="5D3F8C67">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b/>
                      <w:bCs/>
                      <w:color w:val="000000" w:themeColor="text1"/>
                      <w:kern w:val="21"/>
                      <w:sz w:val="21"/>
                      <w:szCs w:val="21"/>
                      <w:highlight w:val="none"/>
                      <w:lang w:val="en-US" w:bidi="zh-CN"/>
                      <w14:textFill>
                        <w14:solidFill>
                          <w14:schemeClr w14:val="tx1"/>
                        </w14:solidFill>
                      </w14:textFill>
                    </w:rPr>
                  </w:pPr>
                </w:p>
              </w:tc>
            </w:tr>
            <w:tr w14:paraId="1A6572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562" w:type="pct"/>
                  <w:tcBorders>
                    <w:tl2br w:val="nil"/>
                    <w:tr2bl w:val="nil"/>
                  </w:tcBorders>
                  <w:shd w:val="clear" w:color="auto" w:fill="auto"/>
                  <w:noWrap w:val="0"/>
                  <w:vAlign w:val="center"/>
                </w:tcPr>
                <w:p w14:paraId="0F7EFE52">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t>G1</w:t>
                  </w:r>
                </w:p>
              </w:tc>
              <w:tc>
                <w:tcPr>
                  <w:tcW w:w="645" w:type="pct"/>
                  <w:tcBorders>
                    <w:tl2br w:val="nil"/>
                    <w:tr2bl w:val="nil"/>
                  </w:tcBorders>
                  <w:shd w:val="clear" w:color="auto" w:fill="auto"/>
                  <w:noWrap w:val="0"/>
                  <w:vAlign w:val="center"/>
                </w:tcPr>
                <w:p w14:paraId="17C716B9">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100.00616044</w:t>
                  </w:r>
                </w:p>
              </w:tc>
              <w:tc>
                <w:tcPr>
                  <w:tcW w:w="534" w:type="pct"/>
                  <w:tcBorders>
                    <w:tl2br w:val="nil"/>
                    <w:tr2bl w:val="nil"/>
                  </w:tcBorders>
                  <w:shd w:val="clear" w:color="auto" w:fill="auto"/>
                  <w:noWrap w:val="0"/>
                  <w:vAlign w:val="center"/>
                </w:tcPr>
                <w:p w14:paraId="44FE88F9">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31.61004303</w:t>
                  </w:r>
                </w:p>
              </w:tc>
              <w:tc>
                <w:tcPr>
                  <w:tcW w:w="562" w:type="pct"/>
                  <w:tcBorders>
                    <w:tl2br w:val="nil"/>
                    <w:tr2bl w:val="nil"/>
                  </w:tcBorders>
                  <w:shd w:val="clear" w:color="auto" w:fill="auto"/>
                  <w:noWrap w:val="0"/>
                  <w:vAlign w:val="center"/>
                </w:tcPr>
                <w:p w14:paraId="0040E160">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zh-CN" w:bidi="zh-CN"/>
                      <w14:textFill>
                        <w14:solidFill>
                          <w14:schemeClr w14:val="tx1"/>
                        </w14:solidFill>
                      </w14:textFill>
                    </w:rPr>
                    <w:t>总悬浮颗粒物</w:t>
                  </w:r>
                </w:p>
              </w:tc>
              <w:tc>
                <w:tcPr>
                  <w:tcW w:w="385" w:type="pct"/>
                  <w:tcBorders>
                    <w:tl2br w:val="nil"/>
                    <w:tr2bl w:val="nil"/>
                  </w:tcBorders>
                  <w:shd w:val="clear" w:color="auto" w:fill="auto"/>
                  <w:noWrap w:val="0"/>
                  <w:vAlign w:val="center"/>
                </w:tcPr>
                <w:p w14:paraId="01FBBAD5">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日均值</w:t>
                  </w:r>
                </w:p>
              </w:tc>
              <w:tc>
                <w:tcPr>
                  <w:tcW w:w="534" w:type="pct"/>
                  <w:tcBorders>
                    <w:tl2br w:val="nil"/>
                    <w:tr2bl w:val="nil"/>
                  </w:tcBorders>
                  <w:shd w:val="clear" w:color="auto" w:fill="auto"/>
                  <w:noWrap w:val="0"/>
                  <w:vAlign w:val="center"/>
                </w:tcPr>
                <w:p w14:paraId="3FB3D47C">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0.3</w:t>
                  </w:r>
                </w:p>
              </w:tc>
              <w:tc>
                <w:tcPr>
                  <w:tcW w:w="673" w:type="pct"/>
                  <w:tcBorders>
                    <w:tl2br w:val="nil"/>
                    <w:tr2bl w:val="nil"/>
                  </w:tcBorders>
                  <w:shd w:val="clear" w:color="auto" w:fill="auto"/>
                  <w:noWrap w:val="0"/>
                  <w:vAlign w:val="center"/>
                </w:tcPr>
                <w:p w14:paraId="56D27199">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eastAsia" w:cs="Times New Roman"/>
                      <w:color w:val="000000" w:themeColor="text1"/>
                      <w:kern w:val="21"/>
                      <w:sz w:val="21"/>
                      <w:szCs w:val="21"/>
                      <w:highlight w:val="none"/>
                      <w:lang w:val="en-US" w:bidi="zh-CN"/>
                      <w14:textFill>
                        <w14:solidFill>
                          <w14:schemeClr w14:val="tx1"/>
                        </w14:solidFill>
                      </w14:textFill>
                    </w:rPr>
                    <w:t>0.071-0.084</w:t>
                  </w:r>
                </w:p>
              </w:tc>
              <w:tc>
                <w:tcPr>
                  <w:tcW w:w="481" w:type="pct"/>
                  <w:tcBorders>
                    <w:tl2br w:val="nil"/>
                    <w:tr2bl w:val="nil"/>
                  </w:tcBorders>
                  <w:shd w:val="clear" w:color="auto" w:fill="auto"/>
                  <w:noWrap w:val="0"/>
                  <w:vAlign w:val="center"/>
                </w:tcPr>
                <w:p w14:paraId="17CF18B8">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eastAsia" w:cs="Times New Roman"/>
                      <w:color w:val="000000" w:themeColor="text1"/>
                      <w:kern w:val="21"/>
                      <w:sz w:val="21"/>
                      <w:szCs w:val="21"/>
                      <w:highlight w:val="none"/>
                      <w:lang w:val="en-US" w:bidi="zh-CN"/>
                      <w14:textFill>
                        <w14:solidFill>
                          <w14:schemeClr w14:val="tx1"/>
                        </w14:solidFill>
                      </w14:textFill>
                    </w:rPr>
                    <w:t>28</w:t>
                  </w:r>
                </w:p>
              </w:tc>
              <w:tc>
                <w:tcPr>
                  <w:tcW w:w="416" w:type="pct"/>
                  <w:tcBorders>
                    <w:tl2br w:val="nil"/>
                    <w:tr2bl w:val="nil"/>
                  </w:tcBorders>
                  <w:shd w:val="clear" w:color="auto" w:fill="auto"/>
                  <w:noWrap w:val="0"/>
                  <w:vAlign w:val="center"/>
                </w:tcPr>
                <w:p w14:paraId="3169D082">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0</w:t>
                  </w:r>
                </w:p>
              </w:tc>
              <w:tc>
                <w:tcPr>
                  <w:tcW w:w="204" w:type="pct"/>
                  <w:tcBorders>
                    <w:tl2br w:val="nil"/>
                    <w:tr2bl w:val="nil"/>
                  </w:tcBorders>
                  <w:shd w:val="clear" w:color="auto" w:fill="auto"/>
                  <w:noWrap w:val="0"/>
                  <w:vAlign w:val="center"/>
                </w:tcPr>
                <w:p w14:paraId="363FC663">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jc w:val="center"/>
                    <w:textAlignment w:val="auto"/>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bidi="zh-CN"/>
                      <w14:textFill>
                        <w14:solidFill>
                          <w14:schemeClr w14:val="tx1"/>
                        </w14:solidFill>
                      </w14:textFill>
                    </w:rPr>
                    <w:t>达标</w:t>
                  </w:r>
                </w:p>
              </w:tc>
            </w:tr>
          </w:tbl>
          <w:p w14:paraId="43F76C35">
            <w:pPr>
              <w:pStyle w:val="33"/>
              <w:keepLines w:val="0"/>
              <w:pageBreakBefore w:val="0"/>
              <w:kinsoku/>
              <w:bidi w:val="0"/>
              <w:snapToGrid/>
              <w:spacing w:before="0" w:beforeLines="0" w:after="0" w:afterLines="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由</w:t>
            </w:r>
            <w:r>
              <w:rPr>
                <w:rFonts w:hint="default" w:ascii="Times New Roman" w:hAnsi="Times New Roman" w:eastAsia="宋体" w:cs="Times New Roman"/>
                <w:color w:val="000000" w:themeColor="text1"/>
                <w:kern w:val="21"/>
                <w:sz w:val="24"/>
                <w:szCs w:val="24"/>
                <w:highlight w:val="none"/>
                <w:lang w:val="en-US" w:bidi="zh-CN"/>
                <w14:textFill>
                  <w14:solidFill>
                    <w14:schemeClr w14:val="tx1"/>
                  </w14:solidFill>
                </w14:textFill>
              </w:rPr>
              <w:t>上表</w:t>
            </w:r>
            <w:r>
              <w:rPr>
                <w:rFonts w:hint="default" w:ascii="Times New Roman" w:hAnsi="Times New Roman" w:eastAsia="宋体" w:cs="Times New Roman"/>
                <w:color w:val="000000" w:themeColor="text1"/>
                <w:kern w:val="21"/>
                <w:sz w:val="24"/>
                <w:szCs w:val="24"/>
                <w:highlight w:val="none"/>
                <w:lang w:val="zh-CN" w:bidi="zh-CN"/>
                <w14:textFill>
                  <w14:solidFill>
                    <w14:schemeClr w14:val="tx1"/>
                  </w14:solidFill>
                </w14:textFill>
              </w:rPr>
              <w:t>可知，</w:t>
            </w:r>
            <w:r>
              <w:rPr>
                <w:rFonts w:hint="eastAsia" w:cs="Times New Roman"/>
                <w:color w:val="000000" w:themeColor="text1"/>
                <w:sz w:val="24"/>
                <w:szCs w:val="24"/>
                <w:highlight w:val="none"/>
                <w:lang w:val="en-US" w:eastAsia="zh-CN"/>
                <w14:textFill>
                  <w14:solidFill>
                    <w14:schemeClr w14:val="tx1"/>
                  </w14:solidFill>
                </w14:textFill>
              </w:rPr>
              <w:t>区域环境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总悬浮颗粒物浓度满足《环境空气质量标准》（GB3095-2012）二级标准及2018修改单要求，说明评价区域内环境空气质量现状较好，各项监测因子均具有一定的环境容量。</w:t>
            </w:r>
          </w:p>
          <w:p w14:paraId="4EDB5DC3">
            <w:pPr>
              <w:keepLines w:val="0"/>
              <w:pageBreakBefore w:val="0"/>
              <w:kinsoku/>
              <w:bidi w:val="0"/>
              <w:snapToGrid/>
              <w:spacing w:beforeLines="0" w:afterLines="0" w:line="360" w:lineRule="auto"/>
              <w:ind w:firstLine="482" w:firstLineChars="200"/>
              <w:jc w:val="left"/>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2、地表水环境质量状况</w:t>
            </w:r>
          </w:p>
          <w:p w14:paraId="0611C100">
            <w:pPr>
              <w:pStyle w:val="40"/>
              <w:spacing w:beforeLines="0" w:afterLine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项目区</w:t>
            </w:r>
            <w:r>
              <w:rPr>
                <w:rFonts w:hint="eastAsia" w:cs="Times New Roman"/>
                <w:color w:val="000000" w:themeColor="text1"/>
                <w:sz w:val="24"/>
                <w:szCs w:val="24"/>
                <w:highlight w:val="none"/>
                <w:lang w:val="en-US" w:eastAsia="zh-CN"/>
                <w14:textFill>
                  <w14:solidFill>
                    <w14:schemeClr w14:val="tx1"/>
                  </w14:solidFill>
                </w14:textFill>
              </w:rPr>
              <w:t>区域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地表水体为雅砻江，本项目生活污水、食堂废水、辆清洗废水、运输车辆轮胎冲洗废水、搅拌设备清洗废水、地面冲洗废水、喷雾废水、洒水废水。食堂废水经过隔油器隔油处理后，同生活污水一同经过</w:t>
            </w:r>
            <w:r>
              <w:rPr>
                <w:rFonts w:hint="eastAsia" w:cs="Times New Roman"/>
                <w:color w:val="000000" w:themeColor="text1"/>
                <w:sz w:val="24"/>
                <w:szCs w:val="24"/>
                <w:highlight w:val="none"/>
                <w:lang w:val="en-US" w:eastAsia="zh-CN"/>
                <w14:textFill>
                  <w14:solidFill>
                    <w14:schemeClr w14:val="tx1"/>
                  </w14:solidFill>
                </w14:textFill>
              </w:rPr>
              <w:t>预处理池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处理后进入甘孜县县城污水处理厂；车辆清洗废水、运输车辆轮胎冲洗废水、搅拌设备清洗废水、地面冲洗废水厂内三级沉淀池处理后回用；喷雾废水、洒水废水蒸发消耗</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项目环境影响报告表编制技术指南（污染影响类）（试行）》地表水区域环境质量现状：地表水引用与建设项目距离近的有效数据，包括近3年的规划环境影响评价的监测数据，所在流域控制单元内国家、地方控制断面监测数据，生态环境主管部门发布的水环境质量数据或地表水达标情况的结论。</w:t>
            </w:r>
          </w:p>
          <w:p w14:paraId="3EE70156">
            <w:pPr>
              <w:pStyle w:val="40"/>
              <w:spacing w:beforeLines="0" w:afterLine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了解项目所在地区的地表水环境质量现状，本次评价采用四川省生态环境监测总站公布的2023年1月-12月《四川省地表水水质状况》中水环境质量评价结果，呷拉乡雅砻江段水环境质量现状能满足《地表水环境质量标准》（GB3838-2002）Ⅱ类水域标准。</w:t>
            </w:r>
          </w:p>
          <w:p w14:paraId="446FD249">
            <w:pPr>
              <w:pStyle w:val="40"/>
              <w:spacing w:beforeLines="0" w:afterLine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综上，本项目所在区域地表水域为雅砻江，根据例行监测结果显示，雅砻江水质较好，地表水环境质量稳定达标，项目区域地表水体为达标水体。</w:t>
            </w:r>
          </w:p>
          <w:p w14:paraId="65D11D89">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3、声环境</w:t>
            </w:r>
          </w:p>
          <w:p w14:paraId="4068B25E">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项目为新建项目，厂界外周边50米范围不内存在声环境保护目标，无需进行现状监测。</w:t>
            </w:r>
          </w:p>
          <w:p w14:paraId="0BF0590E">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根据《声环境功能区划分技术规范》（</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GB/T15190-2014</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），本项目所在地为2类声功能区，环境噪声执行《声环境质量标准》（GB3096-2008）中的“2类声环境功能区”标准。项目拟建地址及周边无高噪声源，区域声环境质量较好，满足声环境功能区标准要求。</w:t>
            </w:r>
          </w:p>
          <w:p w14:paraId="08B4C632">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4、地下水、土壤</w:t>
            </w:r>
          </w:p>
          <w:p w14:paraId="2B565FE0">
            <w:pPr>
              <w:keepLines w:val="0"/>
              <w:pageBreakBefore w:val="0"/>
              <w:kinsoku/>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bidi="ar"/>
                <w14:textFill>
                  <w14:solidFill>
                    <w14:schemeClr w14:val="tx1"/>
                  </w14:solidFill>
                </w14:textFill>
              </w:rPr>
              <w:t>项目地面采取防渗措施，项目不存在地下水、土壤污染途径，因此不开展环境质量现状调查。</w:t>
            </w:r>
          </w:p>
          <w:p w14:paraId="7EABE668">
            <w:pPr>
              <w:keepNext w:val="0"/>
              <w:keepLines w:val="0"/>
              <w:pageBreakBefore w:val="0"/>
              <w:widowControl w:val="0"/>
              <w:numPr>
                <w:ilvl w:val="0"/>
                <w:numId w:val="0"/>
              </w:numPr>
              <w:kinsoku/>
              <w:wordWrap/>
              <w:overflowPunct/>
              <w:topLinePunct w:val="0"/>
              <w:autoSpaceDE/>
              <w:autoSpaceDN/>
              <w:bidi w:val="0"/>
              <w:adjustRightInd/>
              <w:snapToGrid/>
              <w:spacing w:beforeLines="0" w:beforeAutospacing="0" w:afterLines="0" w:afterAutospacing="0" w:line="360" w:lineRule="auto"/>
              <w:ind w:right="0" w:rightChars="0"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5、生态环境</w:t>
            </w:r>
          </w:p>
          <w:p w14:paraId="4FAC4525">
            <w:pPr>
              <w:keepNext w:val="0"/>
              <w:keepLines w:val="0"/>
              <w:pageBreakBefore w:val="0"/>
              <w:widowControl w:val="0"/>
              <w:numPr>
                <w:ilvl w:val="0"/>
                <w:numId w:val="0"/>
              </w:numPr>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拟建位于四川省甘孜藏族自治州甘孜镇斯俄村，所在区域为人员频繁活动区，未发现国家级保护动物，野生动植物为一些鸟类、昆虫及小型哺乳类、爬行类动物。评价区域周边无风景名胜区、自然保护区及文化遗产等特殊保护目标。生态环境属于不敏感区。</w:t>
            </w:r>
          </w:p>
          <w:p w14:paraId="4722BFCB">
            <w:pPr>
              <w:keepNext w:val="0"/>
              <w:keepLines w:val="0"/>
              <w:pageBreakBefore w:val="0"/>
              <w:widowControl w:val="0"/>
              <w:numPr>
                <w:ilvl w:val="0"/>
                <w:numId w:val="0"/>
              </w:numPr>
              <w:kinsoku/>
              <w:wordWrap/>
              <w:overflowPunct/>
              <w:topLinePunct w:val="0"/>
              <w:autoSpaceDE/>
              <w:autoSpaceDN/>
              <w:bidi w:val="0"/>
              <w:adjustRightInd/>
              <w:snapToGrid/>
              <w:spacing w:beforeLines="0" w:beforeAutospacing="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6、电磁辐射</w:t>
            </w:r>
          </w:p>
          <w:p w14:paraId="5DA82E38">
            <w:pPr>
              <w:keepNext w:val="0"/>
              <w:keepLines w:val="0"/>
              <w:pageBreakBefore w:val="0"/>
              <w:widowControl w:val="0"/>
              <w:numPr>
                <w:ilvl w:val="0"/>
                <w:numId w:val="0"/>
              </w:numPr>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项目不涉及电磁辐射。</w:t>
            </w:r>
          </w:p>
        </w:tc>
      </w:tr>
      <w:tr w14:paraId="2C1F3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noWrap w:val="0"/>
            <w:vAlign w:val="center"/>
          </w:tcPr>
          <w:p w14:paraId="60180744">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w:t>
            </w:r>
          </w:p>
          <w:p w14:paraId="5325911D">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保护</w:t>
            </w:r>
          </w:p>
          <w:p w14:paraId="3ED45FA4">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目标</w:t>
            </w:r>
          </w:p>
        </w:tc>
        <w:tc>
          <w:tcPr>
            <w:tcW w:w="4723" w:type="pct"/>
            <w:noWrap w:val="0"/>
            <w:vAlign w:val="center"/>
          </w:tcPr>
          <w:p w14:paraId="2F90AF32">
            <w:pPr>
              <w:keepLines w:val="0"/>
              <w:pageBreakBefore w:val="0"/>
              <w:numPr>
                <w:ilvl w:val="0"/>
                <w:numId w:val="0"/>
              </w:numPr>
              <w:kinsoku/>
              <w:bidi w:val="0"/>
              <w:snapToGrid/>
              <w:spacing w:beforeLines="0" w:afterLines="0" w:line="360" w:lineRule="auto"/>
              <w:ind w:left="0" w:leftChars="0" w:right="0" w:rightChars="0" w:firstLine="480" w:firstLineChars="200"/>
              <w:jc w:val="left"/>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1、大气环境保护目标：项目厂界外500m范围内主要为居民</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和商业区</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。评价区域空气环境质量达到《环境空气质量标准》（GB3095-2012）二级标准限值要求。</w:t>
            </w:r>
          </w:p>
          <w:p w14:paraId="3F9A4433">
            <w:pPr>
              <w:keepLines w:val="0"/>
              <w:pageBreakBefore w:val="0"/>
              <w:numPr>
                <w:ilvl w:val="0"/>
                <w:numId w:val="0"/>
              </w:numPr>
              <w:kinsoku/>
              <w:bidi w:val="0"/>
              <w:snapToGrid/>
              <w:spacing w:beforeLines="0" w:afterLines="0" w:line="360" w:lineRule="auto"/>
              <w:ind w:left="0" w:leftChars="0" w:right="0" w:rightChars="0" w:firstLine="480" w:firstLineChars="200"/>
              <w:jc w:val="left"/>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2、声环境保护目标：项目厂界外50m范围内无声环境保护目标。评价区域声学环境质量达到《声环境质量标准》(GB3096-2008)中2类标准要求。</w:t>
            </w:r>
          </w:p>
          <w:p w14:paraId="256F992A">
            <w:pPr>
              <w:keepLines w:val="0"/>
              <w:pageBreakBefore w:val="0"/>
              <w:numPr>
                <w:ilvl w:val="0"/>
                <w:numId w:val="0"/>
              </w:numPr>
              <w:kinsoku/>
              <w:bidi w:val="0"/>
              <w:snapToGrid/>
              <w:spacing w:beforeLines="0" w:afterLines="0" w:line="360" w:lineRule="auto"/>
              <w:ind w:left="0" w:leftChars="0" w:right="0" w:rightChars="0" w:firstLine="480" w:firstLineChars="200"/>
              <w:jc w:val="left"/>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3、地下水环境保护目标：项目厂界外500米范围内无地下水集中式饮用水水源和热水、矿泉水、温泉等特殊地下水资源。</w:t>
            </w:r>
          </w:p>
          <w:p w14:paraId="665DE745">
            <w:pPr>
              <w:keepLines w:val="0"/>
              <w:pageBreakBefore w:val="0"/>
              <w:numPr>
                <w:ilvl w:val="0"/>
                <w:numId w:val="0"/>
              </w:numPr>
              <w:kinsoku/>
              <w:bidi w:val="0"/>
              <w:snapToGrid/>
              <w:spacing w:beforeLines="0" w:afterLines="0" w:line="360" w:lineRule="auto"/>
              <w:ind w:left="0" w:leftChars="0" w:right="0" w:rightChars="0" w:firstLine="480" w:firstLineChars="200"/>
              <w:jc w:val="left"/>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4、生态环境保护目标：本项目评价范围内无自然保护区、风景名胜区等环境敏感点，不涉及生态红线，无生态环境保护目标。</w:t>
            </w:r>
          </w:p>
          <w:p w14:paraId="5D07C0D7">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表3-</w:t>
            </w:r>
            <w:r>
              <w:rPr>
                <w:rFonts w:hint="eastAsia" w:cs="Times New Roman"/>
                <w:b/>
                <w:bCs/>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环境保护目标表</w:t>
            </w:r>
          </w:p>
          <w:tbl>
            <w:tblPr>
              <w:tblStyle w:val="35"/>
              <w:tblW w:w="5000" w:type="pct"/>
              <w:jc w:val="center"/>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670"/>
              <w:gridCol w:w="660"/>
              <w:gridCol w:w="1101"/>
              <w:gridCol w:w="1112"/>
              <w:gridCol w:w="456"/>
              <w:gridCol w:w="729"/>
              <w:gridCol w:w="511"/>
              <w:gridCol w:w="597"/>
              <w:gridCol w:w="1998"/>
            </w:tblGrid>
            <w:tr w14:paraId="3358673D">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90" w:hRule="atLeast"/>
                <w:jc w:val="center"/>
              </w:trPr>
              <w:tc>
                <w:tcPr>
                  <w:tcW w:w="428" w:type="pct"/>
                  <w:vMerge w:val="restart"/>
                  <w:tcBorders>
                    <w:tl2br w:val="nil"/>
                    <w:tr2bl w:val="nil"/>
                  </w:tcBorders>
                  <w:shd w:val="clear" w:color="auto" w:fill="auto"/>
                  <w:noWrap w:val="0"/>
                  <w:tcMar>
                    <w:top w:w="15" w:type="dxa"/>
                    <w:left w:w="15" w:type="dxa"/>
                    <w:right w:w="15" w:type="dxa"/>
                  </w:tcMar>
                  <w:vAlign w:val="center"/>
                </w:tcPr>
                <w:p w14:paraId="07487B3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环境要素</w:t>
                  </w:r>
                </w:p>
              </w:tc>
              <w:tc>
                <w:tcPr>
                  <w:tcW w:w="421" w:type="pct"/>
                  <w:vMerge w:val="restart"/>
                  <w:tcBorders>
                    <w:tl2br w:val="nil"/>
                    <w:tr2bl w:val="nil"/>
                  </w:tcBorders>
                  <w:shd w:val="clear" w:color="auto" w:fill="auto"/>
                  <w:noWrap w:val="0"/>
                  <w:tcMar>
                    <w:top w:w="15" w:type="dxa"/>
                    <w:left w:w="15" w:type="dxa"/>
                    <w:right w:w="15" w:type="dxa"/>
                  </w:tcMar>
                  <w:vAlign w:val="center"/>
                </w:tcPr>
                <w:p w14:paraId="3A73E1E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环境保护对象</w:t>
                  </w:r>
                </w:p>
              </w:tc>
              <w:tc>
                <w:tcPr>
                  <w:tcW w:w="1413" w:type="pct"/>
                  <w:gridSpan w:val="2"/>
                  <w:tcBorders>
                    <w:tl2br w:val="nil"/>
                    <w:tr2bl w:val="nil"/>
                  </w:tcBorders>
                  <w:shd w:val="clear" w:color="auto" w:fill="auto"/>
                  <w:noWrap w:val="0"/>
                  <w:tcMar>
                    <w:top w:w="15" w:type="dxa"/>
                    <w:left w:w="15" w:type="dxa"/>
                    <w:right w:w="15" w:type="dxa"/>
                  </w:tcMar>
                  <w:vAlign w:val="center"/>
                </w:tcPr>
                <w:p w14:paraId="634DCFF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坐标</w:t>
                  </w:r>
                  <w:r>
                    <w:rPr>
                      <w:rStyle w:val="93"/>
                      <w:rFonts w:hint="default" w:ascii="Times New Roman" w:hAnsi="Times New Roman" w:eastAsia="宋体" w:cs="Times New Roman"/>
                      <w:b/>
                      <w:bCs/>
                      <w:color w:val="000000" w:themeColor="text1"/>
                      <w:sz w:val="21"/>
                      <w:szCs w:val="21"/>
                      <w:highlight w:val="none"/>
                      <w:shd w:val="clear" w:color="auto" w:fill="auto"/>
                      <w:lang w:val="en-US" w:eastAsia="zh-CN" w:bidi="ar"/>
                      <w14:textFill>
                        <w14:solidFill>
                          <w14:schemeClr w14:val="tx1"/>
                        </w14:solidFill>
                      </w14:textFill>
                    </w:rPr>
                    <w:t>/m</w:t>
                  </w:r>
                </w:p>
              </w:tc>
              <w:tc>
                <w:tcPr>
                  <w:tcW w:w="291" w:type="pct"/>
                  <w:vMerge w:val="restart"/>
                  <w:tcBorders>
                    <w:tl2br w:val="nil"/>
                    <w:tr2bl w:val="nil"/>
                  </w:tcBorders>
                  <w:shd w:val="clear" w:color="auto" w:fill="auto"/>
                  <w:noWrap w:val="0"/>
                  <w:tcMar>
                    <w:top w:w="15" w:type="dxa"/>
                    <w:left w:w="15" w:type="dxa"/>
                    <w:right w:w="15" w:type="dxa"/>
                  </w:tcMar>
                  <w:vAlign w:val="center"/>
                </w:tcPr>
                <w:p w14:paraId="6BCA0065">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lang w:val="en-US"/>
                      <w14:textFill>
                        <w14:solidFill>
                          <w14:schemeClr w14:val="tx1"/>
                        </w14:solidFill>
                      </w14:textFill>
                    </w:rPr>
                  </w:pPr>
                  <w:r>
                    <w:rPr>
                      <w:rFonts w:hint="default" w:ascii="Times New Roman" w:hAnsi="Times New Roman"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性质</w:t>
                  </w:r>
                </w:p>
              </w:tc>
              <w:tc>
                <w:tcPr>
                  <w:tcW w:w="464" w:type="pct"/>
                  <w:vMerge w:val="restart"/>
                  <w:tcBorders>
                    <w:tl2br w:val="nil"/>
                    <w:tr2bl w:val="nil"/>
                  </w:tcBorders>
                  <w:shd w:val="clear" w:color="auto" w:fill="auto"/>
                  <w:noWrap w:val="0"/>
                  <w:tcMar>
                    <w:top w:w="15" w:type="dxa"/>
                    <w:left w:w="15" w:type="dxa"/>
                    <w:right w:w="15" w:type="dxa"/>
                  </w:tcMar>
                  <w:vAlign w:val="center"/>
                </w:tcPr>
                <w:p w14:paraId="49E5CAB1">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保护内容</w:t>
                  </w:r>
                </w:p>
              </w:tc>
              <w:tc>
                <w:tcPr>
                  <w:tcW w:w="326" w:type="pct"/>
                  <w:vMerge w:val="restart"/>
                  <w:tcBorders>
                    <w:tl2br w:val="nil"/>
                    <w:tr2bl w:val="nil"/>
                  </w:tcBorders>
                  <w:shd w:val="clear" w:color="auto" w:fill="auto"/>
                  <w:noWrap w:val="0"/>
                  <w:tcMar>
                    <w:top w:w="15" w:type="dxa"/>
                    <w:left w:w="15" w:type="dxa"/>
                    <w:right w:w="15" w:type="dxa"/>
                  </w:tcMar>
                  <w:vAlign w:val="center"/>
                </w:tcPr>
                <w:p w14:paraId="0059914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相对厂址方位</w:t>
                  </w:r>
                </w:p>
              </w:tc>
              <w:tc>
                <w:tcPr>
                  <w:tcW w:w="380" w:type="pct"/>
                  <w:vMerge w:val="restart"/>
                  <w:tcBorders>
                    <w:tl2br w:val="nil"/>
                    <w:tr2bl w:val="nil"/>
                  </w:tcBorders>
                  <w:shd w:val="clear" w:color="auto" w:fill="auto"/>
                  <w:noWrap w:val="0"/>
                  <w:tcMar>
                    <w:top w:w="15" w:type="dxa"/>
                    <w:left w:w="15" w:type="dxa"/>
                    <w:right w:w="15" w:type="dxa"/>
                  </w:tcMar>
                  <w:vAlign w:val="center"/>
                </w:tcPr>
                <w:p w14:paraId="7077210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相对厂界距离</w:t>
                  </w:r>
                  <w:r>
                    <w:rPr>
                      <w:rStyle w:val="93"/>
                      <w:rFonts w:hint="default" w:ascii="Times New Roman" w:hAnsi="Times New Roman" w:eastAsia="宋体" w:cs="Times New Roman"/>
                      <w:b/>
                      <w:bCs/>
                      <w:color w:val="000000" w:themeColor="text1"/>
                      <w:sz w:val="21"/>
                      <w:szCs w:val="21"/>
                      <w:highlight w:val="none"/>
                      <w:shd w:val="clear" w:color="auto" w:fill="auto"/>
                      <w:lang w:val="en-US" w:eastAsia="zh-CN" w:bidi="ar"/>
                      <w14:textFill>
                        <w14:solidFill>
                          <w14:schemeClr w14:val="tx1"/>
                        </w14:solidFill>
                      </w14:textFill>
                    </w:rPr>
                    <w:t>/m</w:t>
                  </w:r>
                </w:p>
              </w:tc>
              <w:tc>
                <w:tcPr>
                  <w:tcW w:w="1275" w:type="pct"/>
                  <w:vMerge w:val="restart"/>
                  <w:tcBorders>
                    <w:tl2br w:val="nil"/>
                    <w:tr2bl w:val="nil"/>
                  </w:tcBorders>
                  <w:shd w:val="clear" w:color="auto" w:fill="auto"/>
                  <w:noWrap w:val="0"/>
                  <w:tcMar>
                    <w:top w:w="15" w:type="dxa"/>
                    <w:left w:w="15" w:type="dxa"/>
                    <w:right w:w="15" w:type="dxa"/>
                  </w:tcMar>
                  <w:vAlign w:val="center"/>
                </w:tcPr>
                <w:p w14:paraId="4E937635">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环境级别</w:t>
                  </w:r>
                </w:p>
              </w:tc>
            </w:tr>
            <w:tr w14:paraId="3406804D">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vMerge w:val="continue"/>
                  <w:tcBorders>
                    <w:tl2br w:val="nil"/>
                    <w:tr2bl w:val="nil"/>
                  </w:tcBorders>
                  <w:shd w:val="clear" w:color="auto" w:fill="auto"/>
                  <w:noWrap w:val="0"/>
                  <w:tcMar>
                    <w:top w:w="15" w:type="dxa"/>
                    <w:left w:w="15" w:type="dxa"/>
                    <w:right w:w="15" w:type="dxa"/>
                  </w:tcMar>
                  <w:vAlign w:val="center"/>
                </w:tcPr>
                <w:p w14:paraId="3BFDA93E">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p>
              </w:tc>
              <w:tc>
                <w:tcPr>
                  <w:tcW w:w="421" w:type="pct"/>
                  <w:vMerge w:val="continue"/>
                  <w:tcBorders>
                    <w:tl2br w:val="nil"/>
                    <w:tr2bl w:val="nil"/>
                  </w:tcBorders>
                  <w:shd w:val="clear" w:color="auto" w:fill="auto"/>
                  <w:noWrap w:val="0"/>
                  <w:tcMar>
                    <w:top w:w="15" w:type="dxa"/>
                    <w:left w:w="15" w:type="dxa"/>
                    <w:right w:w="15" w:type="dxa"/>
                  </w:tcMar>
                  <w:vAlign w:val="center"/>
                </w:tcPr>
                <w:p w14:paraId="3BD9126E">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p>
              </w:tc>
              <w:tc>
                <w:tcPr>
                  <w:tcW w:w="703" w:type="pct"/>
                  <w:tcBorders>
                    <w:tl2br w:val="nil"/>
                    <w:tr2bl w:val="nil"/>
                  </w:tcBorders>
                  <w:shd w:val="clear" w:color="auto" w:fill="auto"/>
                  <w:noWrap w:val="0"/>
                  <w:tcMar>
                    <w:top w:w="15" w:type="dxa"/>
                    <w:left w:w="15" w:type="dxa"/>
                    <w:right w:w="15" w:type="dxa"/>
                  </w:tcMar>
                  <w:vAlign w:val="center"/>
                </w:tcPr>
                <w:p w14:paraId="3D1E728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X</w:t>
                  </w:r>
                </w:p>
              </w:tc>
              <w:tc>
                <w:tcPr>
                  <w:tcW w:w="709" w:type="pct"/>
                  <w:tcBorders>
                    <w:tl2br w:val="nil"/>
                    <w:tr2bl w:val="nil"/>
                  </w:tcBorders>
                  <w:shd w:val="clear" w:color="auto" w:fill="auto"/>
                  <w:noWrap w:val="0"/>
                  <w:tcMar>
                    <w:top w:w="15" w:type="dxa"/>
                    <w:left w:w="15" w:type="dxa"/>
                    <w:right w:w="15" w:type="dxa"/>
                  </w:tcMar>
                  <w:vAlign w:val="center"/>
                </w:tcPr>
                <w:p w14:paraId="2D58DDF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b/>
                      <w:bCs/>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shd w:val="clear" w:color="auto" w:fill="auto"/>
                      <w:lang w:val="en-US" w:eastAsia="zh-CN" w:bidi="ar"/>
                      <w14:textFill>
                        <w14:solidFill>
                          <w14:schemeClr w14:val="tx1"/>
                        </w14:solidFill>
                      </w14:textFill>
                    </w:rPr>
                    <w:t>Y</w:t>
                  </w:r>
                </w:p>
              </w:tc>
              <w:tc>
                <w:tcPr>
                  <w:tcW w:w="291" w:type="pct"/>
                  <w:vMerge w:val="continue"/>
                  <w:tcBorders>
                    <w:tl2br w:val="nil"/>
                    <w:tr2bl w:val="nil"/>
                  </w:tcBorders>
                  <w:shd w:val="clear" w:color="auto" w:fill="auto"/>
                  <w:noWrap w:val="0"/>
                  <w:tcMar>
                    <w:top w:w="15" w:type="dxa"/>
                    <w:left w:w="15" w:type="dxa"/>
                    <w:right w:w="15" w:type="dxa"/>
                  </w:tcMar>
                  <w:vAlign w:val="center"/>
                </w:tcPr>
                <w:p w14:paraId="1179A08E">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p>
              </w:tc>
              <w:tc>
                <w:tcPr>
                  <w:tcW w:w="464" w:type="pct"/>
                  <w:vMerge w:val="continue"/>
                  <w:tcBorders>
                    <w:tl2br w:val="nil"/>
                    <w:tr2bl w:val="nil"/>
                  </w:tcBorders>
                  <w:shd w:val="clear" w:color="auto" w:fill="auto"/>
                  <w:noWrap w:val="0"/>
                  <w:tcMar>
                    <w:top w:w="15" w:type="dxa"/>
                    <w:left w:w="15" w:type="dxa"/>
                    <w:right w:w="15" w:type="dxa"/>
                  </w:tcMar>
                  <w:vAlign w:val="center"/>
                </w:tcPr>
                <w:p w14:paraId="7EEEC840">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p>
              </w:tc>
              <w:tc>
                <w:tcPr>
                  <w:tcW w:w="326" w:type="pct"/>
                  <w:vMerge w:val="continue"/>
                  <w:tcBorders>
                    <w:tl2br w:val="nil"/>
                    <w:tr2bl w:val="nil"/>
                  </w:tcBorders>
                  <w:shd w:val="clear" w:color="auto" w:fill="auto"/>
                  <w:noWrap w:val="0"/>
                  <w:tcMar>
                    <w:top w:w="15" w:type="dxa"/>
                    <w:left w:w="15" w:type="dxa"/>
                    <w:right w:w="15" w:type="dxa"/>
                  </w:tcMar>
                  <w:vAlign w:val="center"/>
                </w:tcPr>
                <w:p w14:paraId="68E10A43">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p>
              </w:tc>
              <w:tc>
                <w:tcPr>
                  <w:tcW w:w="380" w:type="pct"/>
                  <w:vMerge w:val="continue"/>
                  <w:tcBorders>
                    <w:tl2br w:val="nil"/>
                    <w:tr2bl w:val="nil"/>
                  </w:tcBorders>
                  <w:shd w:val="clear" w:color="auto" w:fill="auto"/>
                  <w:noWrap w:val="0"/>
                  <w:tcMar>
                    <w:top w:w="15" w:type="dxa"/>
                    <w:left w:w="15" w:type="dxa"/>
                    <w:right w:w="15" w:type="dxa"/>
                  </w:tcMar>
                  <w:vAlign w:val="center"/>
                </w:tcPr>
                <w:p w14:paraId="48664A1B">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p>
              </w:tc>
              <w:tc>
                <w:tcPr>
                  <w:tcW w:w="1275" w:type="pct"/>
                  <w:vMerge w:val="continue"/>
                  <w:tcBorders>
                    <w:tl2br w:val="nil"/>
                    <w:tr2bl w:val="nil"/>
                  </w:tcBorders>
                  <w:shd w:val="clear" w:color="auto" w:fill="auto"/>
                  <w:noWrap w:val="0"/>
                  <w:tcMar>
                    <w:top w:w="15" w:type="dxa"/>
                    <w:left w:w="15" w:type="dxa"/>
                    <w:right w:w="15" w:type="dxa"/>
                  </w:tcMar>
                  <w:vAlign w:val="center"/>
                </w:tcPr>
                <w:p w14:paraId="1D733F22">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p>
              </w:tc>
            </w:tr>
            <w:tr w14:paraId="31D506C4">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vMerge w:val="restart"/>
                  <w:tcBorders>
                    <w:tl2br w:val="nil"/>
                    <w:tr2bl w:val="nil"/>
                  </w:tcBorders>
                  <w:shd w:val="clear" w:color="auto" w:fill="auto"/>
                  <w:noWrap w:val="0"/>
                  <w:tcMar>
                    <w:top w:w="15" w:type="dxa"/>
                    <w:left w:w="15" w:type="dxa"/>
                    <w:right w:w="15" w:type="dxa"/>
                  </w:tcMar>
                  <w:vAlign w:val="center"/>
                </w:tcPr>
                <w:p w14:paraId="585090D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环境</w:t>
                  </w:r>
                </w:p>
                <w:p w14:paraId="6AEE685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空气</w:t>
                  </w:r>
                </w:p>
              </w:tc>
              <w:tc>
                <w:tcPr>
                  <w:tcW w:w="421" w:type="pct"/>
                  <w:tcBorders>
                    <w:tl2br w:val="nil"/>
                    <w:tr2bl w:val="nil"/>
                  </w:tcBorders>
                  <w:shd w:val="clear" w:color="auto" w:fill="auto"/>
                  <w:noWrap w:val="0"/>
                  <w:tcMar>
                    <w:top w:w="15" w:type="dxa"/>
                    <w:left w:w="15" w:type="dxa"/>
                    <w:right w:w="15" w:type="dxa"/>
                  </w:tcMar>
                  <w:vAlign w:val="center"/>
                </w:tcPr>
                <w:p w14:paraId="19F20DE2">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1#居民区</w:t>
                  </w:r>
                </w:p>
              </w:tc>
              <w:tc>
                <w:tcPr>
                  <w:tcW w:w="703" w:type="pct"/>
                  <w:tcBorders>
                    <w:tl2br w:val="nil"/>
                    <w:tr2bl w:val="nil"/>
                  </w:tcBorders>
                  <w:shd w:val="clear" w:color="auto" w:fill="auto"/>
                  <w:noWrap w:val="0"/>
                  <w:tcMar>
                    <w:top w:w="15" w:type="dxa"/>
                    <w:left w:w="15" w:type="dxa"/>
                    <w:right w:w="15" w:type="dxa"/>
                  </w:tcMar>
                  <w:vAlign w:val="center"/>
                </w:tcPr>
                <w:p w14:paraId="572935EB">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102°10′32″</w:t>
                  </w:r>
                </w:p>
              </w:tc>
              <w:tc>
                <w:tcPr>
                  <w:tcW w:w="709" w:type="pct"/>
                  <w:tcBorders>
                    <w:tl2br w:val="nil"/>
                    <w:tr2bl w:val="nil"/>
                  </w:tcBorders>
                  <w:shd w:val="clear" w:color="auto" w:fill="auto"/>
                  <w:noWrap w:val="0"/>
                  <w:tcMar>
                    <w:top w:w="15" w:type="dxa"/>
                    <w:left w:w="15" w:type="dxa"/>
                    <w:right w:w="15" w:type="dxa"/>
                  </w:tcMar>
                  <w:vAlign w:val="center"/>
                </w:tcPr>
                <w:p w14:paraId="43077979">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30°6′40″</w:t>
                  </w:r>
                </w:p>
              </w:tc>
              <w:tc>
                <w:tcPr>
                  <w:tcW w:w="291" w:type="pct"/>
                  <w:tcBorders>
                    <w:tl2br w:val="nil"/>
                    <w:tr2bl w:val="nil"/>
                  </w:tcBorders>
                  <w:shd w:val="clear" w:color="auto" w:fill="auto"/>
                  <w:noWrap w:val="0"/>
                  <w:tcMar>
                    <w:top w:w="15" w:type="dxa"/>
                    <w:left w:w="15" w:type="dxa"/>
                    <w:right w:w="15" w:type="dxa"/>
                  </w:tcMar>
                  <w:vAlign w:val="center"/>
                </w:tcPr>
                <w:p w14:paraId="0A6985B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sz w:val="21"/>
                      <w:szCs w:val="21"/>
                      <w:highlight w:val="none"/>
                      <w:u w:val="none"/>
                      <w:shd w:val="clear" w:color="auto" w:fill="auto"/>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居民</w:t>
                  </w:r>
                </w:p>
              </w:tc>
              <w:tc>
                <w:tcPr>
                  <w:tcW w:w="464" w:type="pct"/>
                  <w:tcBorders>
                    <w:tl2br w:val="nil"/>
                    <w:tr2bl w:val="nil"/>
                  </w:tcBorders>
                  <w:shd w:val="clear" w:color="auto" w:fill="auto"/>
                  <w:noWrap w:val="0"/>
                  <w:tcMar>
                    <w:top w:w="15" w:type="dxa"/>
                    <w:left w:w="15" w:type="dxa"/>
                    <w:right w:w="15" w:type="dxa"/>
                  </w:tcMar>
                  <w:vAlign w:val="center"/>
                </w:tcPr>
                <w:p w14:paraId="79F6DE55">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2000</w:t>
                  </w:r>
                  <w:r>
                    <w:rPr>
                      <w:rFonts w:hint="default" w:ascii="Times New Roman" w:hAnsi="Times New Roman" w:cs="Times New Roman"/>
                      <w:color w:val="000000" w:themeColor="text1"/>
                      <w:sz w:val="21"/>
                      <w:szCs w:val="21"/>
                      <w:highlight w:val="none"/>
                      <w14:textFill>
                        <w14:solidFill>
                          <w14:schemeClr w14:val="tx1"/>
                        </w14:solidFill>
                      </w14:textFill>
                    </w:rPr>
                    <w:t>人</w:t>
                  </w:r>
                </w:p>
              </w:tc>
              <w:tc>
                <w:tcPr>
                  <w:tcW w:w="326" w:type="pct"/>
                  <w:tcBorders>
                    <w:tl2br w:val="nil"/>
                    <w:tr2bl w:val="nil"/>
                  </w:tcBorders>
                  <w:shd w:val="clear" w:color="auto" w:fill="auto"/>
                  <w:noWrap w:val="0"/>
                  <w:tcMar>
                    <w:top w:w="15" w:type="dxa"/>
                    <w:left w:w="15" w:type="dxa"/>
                    <w:right w:w="15" w:type="dxa"/>
                  </w:tcMar>
                  <w:vAlign w:val="center"/>
                </w:tcPr>
                <w:p w14:paraId="07E7605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eastAsia" w:cs="Times New Roman"/>
                      <w:i w:val="0"/>
                      <w:color w:val="000000" w:themeColor="text1"/>
                      <w:sz w:val="21"/>
                      <w:szCs w:val="21"/>
                      <w:highlight w:val="none"/>
                      <w:u w:val="none"/>
                      <w:shd w:val="clear" w:color="auto" w:fill="auto"/>
                      <w:lang w:val="en-US" w:eastAsia="zh-CN"/>
                      <w14:textFill>
                        <w14:solidFill>
                          <w14:schemeClr w14:val="tx1"/>
                        </w14:solidFill>
                      </w14:textFill>
                    </w:rPr>
                    <w:t>西北</w:t>
                  </w:r>
                </w:p>
              </w:tc>
              <w:tc>
                <w:tcPr>
                  <w:tcW w:w="380" w:type="pct"/>
                  <w:tcBorders>
                    <w:tl2br w:val="nil"/>
                    <w:tr2bl w:val="nil"/>
                  </w:tcBorders>
                  <w:shd w:val="clear" w:color="auto" w:fill="auto"/>
                  <w:noWrap w:val="0"/>
                  <w:tcMar>
                    <w:top w:w="15" w:type="dxa"/>
                    <w:left w:w="15" w:type="dxa"/>
                    <w:right w:w="15" w:type="dxa"/>
                  </w:tcMar>
                  <w:vAlign w:val="center"/>
                </w:tcPr>
                <w:p w14:paraId="772A38F8">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178</w:t>
                  </w:r>
                </w:p>
              </w:tc>
              <w:tc>
                <w:tcPr>
                  <w:tcW w:w="1275" w:type="pct"/>
                  <w:vMerge w:val="restart"/>
                  <w:tcBorders>
                    <w:tl2br w:val="nil"/>
                    <w:tr2bl w:val="nil"/>
                  </w:tcBorders>
                  <w:shd w:val="clear" w:color="auto" w:fill="auto"/>
                  <w:noWrap w:val="0"/>
                  <w:tcMar>
                    <w:top w:w="15" w:type="dxa"/>
                    <w:left w:w="15" w:type="dxa"/>
                    <w:right w:w="15" w:type="dxa"/>
                  </w:tcMar>
                  <w:vAlign w:val="center"/>
                </w:tcPr>
                <w:p w14:paraId="4916A0B6">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GB3095-2012二类区</w:t>
                  </w:r>
                </w:p>
              </w:tc>
            </w:tr>
            <w:tr w14:paraId="3409916B">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vMerge w:val="continue"/>
                  <w:tcBorders>
                    <w:tl2br w:val="nil"/>
                    <w:tr2bl w:val="nil"/>
                  </w:tcBorders>
                  <w:shd w:val="clear" w:color="auto" w:fill="auto"/>
                  <w:noWrap w:val="0"/>
                  <w:tcMar>
                    <w:top w:w="15" w:type="dxa"/>
                    <w:left w:w="15" w:type="dxa"/>
                    <w:right w:w="15" w:type="dxa"/>
                  </w:tcMar>
                  <w:vAlign w:val="center"/>
                </w:tcPr>
                <w:p w14:paraId="3D0994E6">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p>
              </w:tc>
              <w:tc>
                <w:tcPr>
                  <w:tcW w:w="421" w:type="pct"/>
                  <w:tcBorders>
                    <w:tl2br w:val="nil"/>
                    <w:tr2bl w:val="nil"/>
                  </w:tcBorders>
                  <w:shd w:val="clear" w:color="auto" w:fill="auto"/>
                  <w:noWrap w:val="0"/>
                  <w:tcMar>
                    <w:top w:w="15" w:type="dxa"/>
                    <w:left w:w="15" w:type="dxa"/>
                    <w:right w:w="15" w:type="dxa"/>
                  </w:tcMar>
                  <w:vAlign w:val="center"/>
                </w:tcPr>
                <w:p w14:paraId="7130E283">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2#居民区</w:t>
                  </w:r>
                </w:p>
              </w:tc>
              <w:tc>
                <w:tcPr>
                  <w:tcW w:w="703" w:type="pct"/>
                  <w:tcBorders>
                    <w:tl2br w:val="nil"/>
                    <w:tr2bl w:val="nil"/>
                  </w:tcBorders>
                  <w:shd w:val="clear" w:color="auto" w:fill="auto"/>
                  <w:noWrap w:val="0"/>
                  <w:tcMar>
                    <w:top w:w="15" w:type="dxa"/>
                    <w:left w:w="15" w:type="dxa"/>
                    <w:right w:w="15" w:type="dxa"/>
                  </w:tcMar>
                  <w:vAlign w:val="center"/>
                </w:tcPr>
                <w:p w14:paraId="56640109">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102°10′59″</w:t>
                  </w:r>
                </w:p>
              </w:tc>
              <w:tc>
                <w:tcPr>
                  <w:tcW w:w="709" w:type="pct"/>
                  <w:tcBorders>
                    <w:tl2br w:val="nil"/>
                    <w:tr2bl w:val="nil"/>
                  </w:tcBorders>
                  <w:shd w:val="clear" w:color="auto" w:fill="auto"/>
                  <w:noWrap w:val="0"/>
                  <w:tcMar>
                    <w:top w:w="15" w:type="dxa"/>
                    <w:left w:w="15" w:type="dxa"/>
                    <w:right w:w="15" w:type="dxa"/>
                  </w:tcMar>
                  <w:vAlign w:val="center"/>
                </w:tcPr>
                <w:p w14:paraId="7907A3F6">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30°6′43″</w:t>
                  </w:r>
                </w:p>
              </w:tc>
              <w:tc>
                <w:tcPr>
                  <w:tcW w:w="291" w:type="pct"/>
                  <w:tcBorders>
                    <w:tl2br w:val="nil"/>
                    <w:tr2bl w:val="nil"/>
                  </w:tcBorders>
                  <w:shd w:val="clear" w:color="auto" w:fill="auto"/>
                  <w:noWrap w:val="0"/>
                  <w:tcMar>
                    <w:top w:w="15" w:type="dxa"/>
                    <w:left w:w="15" w:type="dxa"/>
                    <w:right w:w="15" w:type="dxa"/>
                  </w:tcMar>
                  <w:vAlign w:val="center"/>
                </w:tcPr>
                <w:p w14:paraId="143BCC40">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居民</w:t>
                  </w:r>
                </w:p>
              </w:tc>
              <w:tc>
                <w:tcPr>
                  <w:tcW w:w="464" w:type="pct"/>
                  <w:tcBorders>
                    <w:tl2br w:val="nil"/>
                    <w:tr2bl w:val="nil"/>
                  </w:tcBorders>
                  <w:shd w:val="clear" w:color="auto" w:fill="auto"/>
                  <w:noWrap w:val="0"/>
                  <w:tcMar>
                    <w:top w:w="15" w:type="dxa"/>
                    <w:left w:w="15" w:type="dxa"/>
                    <w:right w:w="15" w:type="dxa"/>
                  </w:tcMar>
                  <w:vAlign w:val="center"/>
                </w:tcPr>
                <w:p w14:paraId="1452DE6C">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1000</w:t>
                  </w:r>
                  <w:r>
                    <w:rPr>
                      <w:rFonts w:hint="default" w:ascii="Times New Roman" w:hAnsi="Times New Roman" w:cs="Times New Roman"/>
                      <w:color w:val="000000" w:themeColor="text1"/>
                      <w:sz w:val="21"/>
                      <w:szCs w:val="21"/>
                      <w:highlight w:val="none"/>
                      <w14:textFill>
                        <w14:solidFill>
                          <w14:schemeClr w14:val="tx1"/>
                        </w14:solidFill>
                      </w14:textFill>
                    </w:rPr>
                    <w:t>人</w:t>
                  </w:r>
                </w:p>
              </w:tc>
              <w:tc>
                <w:tcPr>
                  <w:tcW w:w="326" w:type="pct"/>
                  <w:tcBorders>
                    <w:tl2br w:val="nil"/>
                    <w:tr2bl w:val="nil"/>
                  </w:tcBorders>
                  <w:shd w:val="clear" w:color="auto" w:fill="auto"/>
                  <w:noWrap w:val="0"/>
                  <w:tcMar>
                    <w:top w:w="15" w:type="dxa"/>
                    <w:left w:w="15" w:type="dxa"/>
                    <w:right w:w="15" w:type="dxa"/>
                  </w:tcMar>
                  <w:vAlign w:val="center"/>
                </w:tcPr>
                <w:p w14:paraId="3FAFAA4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东</w:t>
                  </w:r>
                </w:p>
              </w:tc>
              <w:tc>
                <w:tcPr>
                  <w:tcW w:w="380" w:type="pct"/>
                  <w:tcBorders>
                    <w:tl2br w:val="nil"/>
                    <w:tr2bl w:val="nil"/>
                  </w:tcBorders>
                  <w:shd w:val="clear" w:color="auto" w:fill="auto"/>
                  <w:noWrap w:val="0"/>
                  <w:tcMar>
                    <w:top w:w="15" w:type="dxa"/>
                    <w:left w:w="15" w:type="dxa"/>
                    <w:right w:w="15" w:type="dxa"/>
                  </w:tcMar>
                  <w:vAlign w:val="center"/>
                </w:tcPr>
                <w:p w14:paraId="607ED2AF">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212</w:t>
                  </w:r>
                </w:p>
              </w:tc>
              <w:tc>
                <w:tcPr>
                  <w:tcW w:w="1275" w:type="pct"/>
                  <w:vMerge w:val="continue"/>
                  <w:tcBorders>
                    <w:tl2br w:val="nil"/>
                    <w:tr2bl w:val="nil"/>
                  </w:tcBorders>
                  <w:shd w:val="clear" w:color="auto" w:fill="auto"/>
                  <w:noWrap w:val="0"/>
                  <w:tcMar>
                    <w:top w:w="15" w:type="dxa"/>
                    <w:left w:w="15" w:type="dxa"/>
                    <w:right w:w="15" w:type="dxa"/>
                  </w:tcMar>
                  <w:vAlign w:val="center"/>
                </w:tcPr>
                <w:p w14:paraId="3797ADED">
                  <w:pPr>
                    <w:keepNext w:val="0"/>
                    <w:keepLines w:val="0"/>
                    <w:pageBreakBefore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5C4909F1">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tcBorders>
                    <w:tl2br w:val="nil"/>
                    <w:tr2bl w:val="nil"/>
                  </w:tcBorders>
                  <w:shd w:val="clear" w:color="auto" w:fill="auto"/>
                  <w:noWrap w:val="0"/>
                  <w:tcMar>
                    <w:top w:w="15" w:type="dxa"/>
                    <w:left w:w="15" w:type="dxa"/>
                    <w:right w:w="15" w:type="dxa"/>
                  </w:tcMar>
                  <w:vAlign w:val="center"/>
                </w:tcPr>
                <w:p w14:paraId="0297C2AC">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t>地表水</w:t>
                  </w:r>
                </w:p>
              </w:tc>
              <w:tc>
                <w:tcPr>
                  <w:tcW w:w="421" w:type="pct"/>
                  <w:tcBorders>
                    <w:tl2br w:val="nil"/>
                    <w:tr2bl w:val="nil"/>
                  </w:tcBorders>
                  <w:shd w:val="clear" w:color="auto" w:fill="auto"/>
                  <w:noWrap w:val="0"/>
                  <w:tcMar>
                    <w:top w:w="15" w:type="dxa"/>
                    <w:left w:w="15" w:type="dxa"/>
                    <w:right w:w="15" w:type="dxa"/>
                  </w:tcMar>
                  <w:vAlign w:val="center"/>
                </w:tcPr>
                <w:p w14:paraId="594BBAB7">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雅砻江</w:t>
                  </w:r>
                </w:p>
              </w:tc>
              <w:tc>
                <w:tcPr>
                  <w:tcW w:w="2168" w:type="pct"/>
                  <w:gridSpan w:val="4"/>
                  <w:tcBorders>
                    <w:tl2br w:val="nil"/>
                    <w:tr2bl w:val="nil"/>
                  </w:tcBorders>
                  <w:shd w:val="clear" w:color="auto" w:fill="auto"/>
                  <w:noWrap w:val="0"/>
                  <w:tcMar>
                    <w:top w:w="15" w:type="dxa"/>
                    <w:left w:w="15" w:type="dxa"/>
                    <w:right w:w="15" w:type="dxa"/>
                  </w:tcMar>
                  <w:vAlign w:val="center"/>
                </w:tcPr>
                <w:p w14:paraId="7B7BE7AF">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w:t>
                  </w:r>
                </w:p>
              </w:tc>
              <w:tc>
                <w:tcPr>
                  <w:tcW w:w="326" w:type="pct"/>
                  <w:tcBorders>
                    <w:tl2br w:val="nil"/>
                    <w:tr2bl w:val="nil"/>
                  </w:tcBorders>
                  <w:shd w:val="clear" w:color="auto" w:fill="auto"/>
                  <w:noWrap w:val="0"/>
                  <w:tcMar>
                    <w:top w:w="15" w:type="dxa"/>
                    <w:left w:w="15" w:type="dxa"/>
                    <w:right w:w="15" w:type="dxa"/>
                  </w:tcMar>
                  <w:vAlign w:val="center"/>
                </w:tcPr>
                <w:p w14:paraId="6DD76559">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t>西南</w:t>
                  </w:r>
                </w:p>
              </w:tc>
              <w:tc>
                <w:tcPr>
                  <w:tcW w:w="380" w:type="pct"/>
                  <w:tcBorders>
                    <w:tl2br w:val="nil"/>
                    <w:tr2bl w:val="nil"/>
                  </w:tcBorders>
                  <w:shd w:val="clear" w:color="auto" w:fill="auto"/>
                  <w:noWrap w:val="0"/>
                  <w:tcMar>
                    <w:top w:w="15" w:type="dxa"/>
                    <w:left w:w="15" w:type="dxa"/>
                    <w:right w:w="15" w:type="dxa"/>
                  </w:tcMar>
                  <w:vAlign w:val="center"/>
                </w:tcPr>
                <w:p w14:paraId="52D472C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1020</w:t>
                  </w:r>
                </w:p>
              </w:tc>
              <w:tc>
                <w:tcPr>
                  <w:tcW w:w="1275" w:type="pct"/>
                  <w:tcBorders>
                    <w:tl2br w:val="nil"/>
                    <w:tr2bl w:val="nil"/>
                  </w:tcBorders>
                  <w:shd w:val="clear" w:color="auto" w:fill="auto"/>
                  <w:noWrap w:val="0"/>
                  <w:tcMar>
                    <w:top w:w="15" w:type="dxa"/>
                    <w:left w:w="15" w:type="dxa"/>
                    <w:right w:w="15" w:type="dxa"/>
                  </w:tcMar>
                  <w:vAlign w:val="center"/>
                </w:tcPr>
                <w:p w14:paraId="2306FB4E">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（GB3838-2002）Ⅱ 类水质标准</w:t>
                  </w:r>
                </w:p>
              </w:tc>
            </w:tr>
            <w:tr w14:paraId="3567D8DF">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tcBorders>
                    <w:tl2br w:val="nil"/>
                    <w:tr2bl w:val="nil"/>
                  </w:tcBorders>
                  <w:shd w:val="clear" w:color="auto" w:fill="auto"/>
                  <w:noWrap w:val="0"/>
                  <w:tcMar>
                    <w:top w:w="15" w:type="dxa"/>
                    <w:left w:w="15" w:type="dxa"/>
                    <w:right w:w="15" w:type="dxa"/>
                  </w:tcMar>
                  <w:vAlign w:val="center"/>
                </w:tcPr>
                <w:p w14:paraId="61FE0F64">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t>声环境</w:t>
                  </w:r>
                </w:p>
              </w:tc>
              <w:tc>
                <w:tcPr>
                  <w:tcW w:w="2589" w:type="pct"/>
                  <w:gridSpan w:val="5"/>
                  <w:tcBorders>
                    <w:tl2br w:val="nil"/>
                    <w:tr2bl w:val="nil"/>
                  </w:tcBorders>
                  <w:shd w:val="clear" w:color="auto" w:fill="auto"/>
                  <w:noWrap w:val="0"/>
                  <w:tcMar>
                    <w:top w:w="15" w:type="dxa"/>
                    <w:left w:w="15" w:type="dxa"/>
                    <w:right w:w="15" w:type="dxa"/>
                  </w:tcMar>
                  <w:vAlign w:val="center"/>
                </w:tcPr>
                <w:p w14:paraId="5D90261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firstLine="420" w:firstLineChars="200"/>
                    <w:jc w:val="both"/>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厂界外50m范围（无保护目标）</w:t>
                  </w:r>
                </w:p>
              </w:tc>
              <w:tc>
                <w:tcPr>
                  <w:tcW w:w="707" w:type="pct"/>
                  <w:gridSpan w:val="2"/>
                  <w:tcBorders>
                    <w:tl2br w:val="nil"/>
                    <w:tr2bl w:val="nil"/>
                  </w:tcBorders>
                  <w:shd w:val="clear" w:color="auto" w:fill="auto"/>
                  <w:noWrap w:val="0"/>
                  <w:tcMar>
                    <w:top w:w="15" w:type="dxa"/>
                    <w:left w:w="15" w:type="dxa"/>
                    <w:right w:w="15" w:type="dxa"/>
                  </w:tcMar>
                  <w:vAlign w:val="center"/>
                </w:tcPr>
                <w:p w14:paraId="0016C3F2">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val="en-US" w:eastAsia="zh-CN"/>
                      <w14:textFill>
                        <w14:solidFill>
                          <w14:schemeClr w14:val="tx1"/>
                        </w14:solidFill>
                      </w14:textFill>
                    </w:rPr>
                    <w:t>/</w:t>
                  </w:r>
                </w:p>
              </w:tc>
              <w:tc>
                <w:tcPr>
                  <w:tcW w:w="1275" w:type="pct"/>
                  <w:tcBorders>
                    <w:tl2br w:val="nil"/>
                    <w:tr2bl w:val="nil"/>
                  </w:tcBorders>
                  <w:shd w:val="clear" w:color="auto" w:fill="auto"/>
                  <w:noWrap w:val="0"/>
                  <w:tcMar>
                    <w:top w:w="15" w:type="dxa"/>
                    <w:left w:w="15" w:type="dxa"/>
                    <w:right w:w="15" w:type="dxa"/>
                  </w:tcMar>
                  <w:vAlign w:val="center"/>
                </w:tcPr>
                <w:p w14:paraId="54E772F3">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val="en-US" w:eastAsia="zh-CN"/>
                      <w14:textFill>
                        <w14:solidFill>
                          <w14:schemeClr w14:val="tx1"/>
                        </w14:solidFill>
                      </w14:textFill>
                    </w:rPr>
                    <w:t>《声环境质量标准》（GB3096—2008）2类标准</w:t>
                  </w:r>
                </w:p>
              </w:tc>
            </w:tr>
            <w:tr w14:paraId="56B11B83">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tcBorders>
                    <w:tl2br w:val="nil"/>
                    <w:tr2bl w:val="nil"/>
                  </w:tcBorders>
                  <w:shd w:val="clear" w:color="auto" w:fill="auto"/>
                  <w:noWrap w:val="0"/>
                  <w:tcMar>
                    <w:top w:w="15" w:type="dxa"/>
                    <w:left w:w="15" w:type="dxa"/>
                    <w:right w:w="15" w:type="dxa"/>
                  </w:tcMar>
                  <w:vAlign w:val="center"/>
                </w:tcPr>
                <w:p w14:paraId="72D12E98">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t>地下水环境</w:t>
                  </w:r>
                </w:p>
              </w:tc>
              <w:tc>
                <w:tcPr>
                  <w:tcW w:w="2589" w:type="pct"/>
                  <w:gridSpan w:val="5"/>
                  <w:tcBorders>
                    <w:tl2br w:val="nil"/>
                    <w:tr2bl w:val="nil"/>
                  </w:tcBorders>
                  <w:shd w:val="clear" w:color="auto" w:fill="auto"/>
                  <w:noWrap w:val="0"/>
                  <w:tcMar>
                    <w:top w:w="15" w:type="dxa"/>
                    <w:left w:w="15" w:type="dxa"/>
                    <w:right w:w="15" w:type="dxa"/>
                  </w:tcMar>
                  <w:vAlign w:val="center"/>
                </w:tcPr>
                <w:p w14:paraId="237C6F7C">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firstLine="420" w:firstLineChars="200"/>
                    <w:jc w:val="both"/>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厂界外500米范围内无地下水集中式饮用水水源和热水、矿泉水、温泉等特殊地下水资源。</w:t>
                  </w:r>
                </w:p>
              </w:tc>
              <w:tc>
                <w:tcPr>
                  <w:tcW w:w="707" w:type="pct"/>
                  <w:gridSpan w:val="2"/>
                  <w:tcBorders>
                    <w:tl2br w:val="nil"/>
                    <w:tr2bl w:val="nil"/>
                  </w:tcBorders>
                  <w:shd w:val="clear" w:color="auto" w:fill="auto"/>
                  <w:noWrap w:val="0"/>
                  <w:tcMar>
                    <w:top w:w="15" w:type="dxa"/>
                    <w:left w:w="15" w:type="dxa"/>
                    <w:right w:w="15" w:type="dxa"/>
                  </w:tcMar>
                  <w:vAlign w:val="center"/>
                </w:tcPr>
                <w:p w14:paraId="736DB23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t>/</w:t>
                  </w:r>
                </w:p>
              </w:tc>
              <w:tc>
                <w:tcPr>
                  <w:tcW w:w="1275" w:type="pct"/>
                  <w:tcBorders>
                    <w:tl2br w:val="nil"/>
                    <w:tr2bl w:val="nil"/>
                  </w:tcBorders>
                  <w:shd w:val="clear" w:color="auto" w:fill="auto"/>
                  <w:noWrap w:val="0"/>
                  <w:tcMar>
                    <w:top w:w="15" w:type="dxa"/>
                    <w:left w:w="15" w:type="dxa"/>
                    <w:right w:w="15" w:type="dxa"/>
                  </w:tcMar>
                  <w:vAlign w:val="center"/>
                </w:tcPr>
                <w:p w14:paraId="17656D3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t>《地下水质量标准》（GB/T14848-2017）中Ⅲ类标准。</w:t>
                  </w:r>
                </w:p>
              </w:tc>
            </w:tr>
            <w:tr w14:paraId="46AA07B4">
              <w:tblPrEx>
                <w:tblBorders>
                  <w:top w:val="single" w:color="000000" w:sz="2" w:space="0"/>
                  <w:left w:val="none" w:color="auto" w:sz="0" w:space="0"/>
                  <w:bottom w:val="single" w:color="000000" w:sz="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28" w:type="pct"/>
                  <w:tcBorders>
                    <w:tl2br w:val="nil"/>
                    <w:tr2bl w:val="nil"/>
                  </w:tcBorders>
                  <w:shd w:val="clear" w:color="auto" w:fill="auto"/>
                  <w:noWrap w:val="0"/>
                  <w:tcMar>
                    <w:top w:w="15" w:type="dxa"/>
                    <w:left w:w="15" w:type="dxa"/>
                    <w:right w:w="15" w:type="dxa"/>
                  </w:tcMar>
                  <w:vAlign w:val="center"/>
                </w:tcPr>
                <w:p w14:paraId="63CDDA8B">
                  <w:pPr>
                    <w:keepNext w:val="0"/>
                    <w:keepLines w:val="0"/>
                    <w:pageBreakBefore w:val="0"/>
                    <w:kinsoku/>
                    <w:wordWrap/>
                    <w:overflowPunct/>
                    <w:topLinePunct w:val="0"/>
                    <w:autoSpaceDE/>
                    <w:autoSpaceDN/>
                    <w:bidi w:val="0"/>
                    <w:adjustRightInd/>
                    <w:snapToGrid/>
                    <w:spacing w:before="157" w:beforeLines="50" w:afterLines="0" w:line="360" w:lineRule="auto"/>
                    <w:jc w:val="cente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pPr>
                  <w:r>
                    <w:rPr>
                      <w:rFonts w:hint="default" w:ascii="Times New Roman" w:hAnsi="Times New Roman" w:eastAsia="宋体" w:cs="Times New Roman"/>
                      <w:i w:val="0"/>
                      <w:color w:val="000000" w:themeColor="text1"/>
                      <w:sz w:val="21"/>
                      <w:szCs w:val="21"/>
                      <w:highlight w:val="none"/>
                      <w:u w:val="none"/>
                      <w:shd w:val="clear" w:color="auto" w:fill="auto"/>
                      <w:lang w:eastAsia="zh-CN"/>
                      <w14:textFill>
                        <w14:solidFill>
                          <w14:schemeClr w14:val="tx1"/>
                        </w14:solidFill>
                      </w14:textFill>
                    </w:rPr>
                    <w:t>生态环境</w:t>
                  </w:r>
                </w:p>
              </w:tc>
              <w:tc>
                <w:tcPr>
                  <w:tcW w:w="2589" w:type="pct"/>
                  <w:gridSpan w:val="5"/>
                  <w:tcBorders>
                    <w:tl2br w:val="nil"/>
                    <w:tr2bl w:val="nil"/>
                  </w:tcBorders>
                  <w:shd w:val="clear" w:color="auto" w:fill="auto"/>
                  <w:noWrap w:val="0"/>
                  <w:tcMar>
                    <w:top w:w="15" w:type="dxa"/>
                    <w:left w:w="15" w:type="dxa"/>
                    <w:right w:w="15" w:type="dxa"/>
                  </w:tcMar>
                  <w:vAlign w:val="center"/>
                </w:tcPr>
                <w:p w14:paraId="69F7960D">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firstLine="420" w:firstLineChars="200"/>
                    <w:jc w:val="both"/>
                    <w:textAlignment w:val="cente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shd w:val="clear" w:color="auto" w:fill="auto"/>
                      <w:lang w:val="en-US" w:eastAsia="zh-CN" w:bidi="ar"/>
                      <w14:textFill>
                        <w14:solidFill>
                          <w14:schemeClr w14:val="tx1"/>
                        </w14:solidFill>
                      </w14:textFill>
                    </w:rPr>
                    <w:t>本项目用地范围内无生态环境保护目标</w:t>
                  </w:r>
                </w:p>
              </w:tc>
              <w:tc>
                <w:tcPr>
                  <w:tcW w:w="707" w:type="pct"/>
                  <w:gridSpan w:val="2"/>
                  <w:tcBorders>
                    <w:tl2br w:val="nil"/>
                    <w:tr2bl w:val="nil"/>
                  </w:tcBorders>
                  <w:shd w:val="clear" w:color="auto" w:fill="auto"/>
                  <w:noWrap w:val="0"/>
                  <w:tcMar>
                    <w:top w:w="15" w:type="dxa"/>
                    <w:left w:w="15" w:type="dxa"/>
                    <w:right w:w="15" w:type="dxa"/>
                  </w:tcMar>
                  <w:vAlign w:val="center"/>
                </w:tcPr>
                <w:p w14:paraId="5C65BEE4">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jc w:val="center"/>
                    <w:textAlignment w:val="cente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t>/</w:t>
                  </w:r>
                </w:p>
              </w:tc>
              <w:tc>
                <w:tcPr>
                  <w:tcW w:w="1275" w:type="pct"/>
                  <w:tcBorders>
                    <w:tl2br w:val="nil"/>
                    <w:tr2bl w:val="nil"/>
                  </w:tcBorders>
                  <w:shd w:val="clear" w:color="auto" w:fill="auto"/>
                  <w:noWrap w:val="0"/>
                  <w:tcMar>
                    <w:top w:w="15" w:type="dxa"/>
                    <w:left w:w="15" w:type="dxa"/>
                    <w:right w:w="15" w:type="dxa"/>
                  </w:tcMar>
                  <w:vAlign w:val="center"/>
                </w:tcPr>
                <w:p w14:paraId="4E89B4E8">
                  <w:pPr>
                    <w:keepNext w:val="0"/>
                    <w:keepLines w:val="0"/>
                    <w:pageBreakBefore w:val="0"/>
                    <w:widowControl/>
                    <w:suppressLineNumbers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cente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pPr>
                  <w:r>
                    <w:rPr>
                      <w:rFonts w:hint="default" w:ascii="Times New Roman" w:hAnsi="Times New Roman" w:cs="Times New Roman"/>
                      <w:i w:val="0"/>
                      <w:color w:val="000000" w:themeColor="text1"/>
                      <w:sz w:val="21"/>
                      <w:szCs w:val="21"/>
                      <w:highlight w:val="none"/>
                      <w:u w:val="none"/>
                      <w:shd w:val="clear" w:color="auto" w:fill="auto"/>
                      <w:lang w:val="en-US" w:eastAsia="zh-CN"/>
                      <w14:textFill>
                        <w14:solidFill>
                          <w14:schemeClr w14:val="tx1"/>
                        </w14:solidFill>
                      </w14:textFill>
                    </w:rPr>
                    <w:t>/</w:t>
                  </w:r>
                </w:p>
              </w:tc>
            </w:tr>
          </w:tbl>
          <w:p w14:paraId="2237E023">
            <w:pPr>
              <w:pStyle w:val="2"/>
              <w:keepLines w:val="0"/>
              <w:pageBreakBefore w:val="0"/>
              <w:kinsoku/>
              <w:bidi w:val="0"/>
              <w:snapToGrid/>
              <w:spacing w:beforeLines="0" w:after="0" w:afterLines="0"/>
              <w:ind w:left="0" w:leftChars="0" w:firstLine="0" w:firstLineChars="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p>
        </w:tc>
      </w:tr>
      <w:tr w14:paraId="15A4A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noWrap w:val="0"/>
            <w:tcMar>
              <w:left w:w="28" w:type="dxa"/>
              <w:right w:w="28" w:type="dxa"/>
            </w:tcMar>
            <w:vAlign w:val="center"/>
          </w:tcPr>
          <w:p w14:paraId="135D5CCC">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污染</w:t>
            </w:r>
          </w:p>
          <w:p w14:paraId="1C675D8D">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物排</w:t>
            </w:r>
          </w:p>
          <w:p w14:paraId="02D124BD">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放控</w:t>
            </w:r>
          </w:p>
          <w:p w14:paraId="7B26A284">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制标</w:t>
            </w:r>
          </w:p>
          <w:p w14:paraId="06DA821E">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准</w:t>
            </w:r>
          </w:p>
        </w:tc>
        <w:tc>
          <w:tcPr>
            <w:tcW w:w="4723" w:type="pct"/>
            <w:noWrap w:val="0"/>
            <w:vAlign w:val="center"/>
          </w:tcPr>
          <w:p w14:paraId="033E0E11">
            <w:pPr>
              <w:keepNext w:val="0"/>
              <w:keepLines w:val="0"/>
              <w:pageBreakBefore w:val="0"/>
              <w:widowControl/>
              <w:numPr>
                <w:ilvl w:val="0"/>
                <w:numId w:val="5"/>
              </w:numPr>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t>废气</w:t>
            </w:r>
          </w:p>
          <w:p w14:paraId="6C1C41FB">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运营期废气主要为颗粒物，</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排放执行《四川省水泥工业大气污染物排放标准》（DB51/2864-2021）标准。</w:t>
            </w:r>
          </w:p>
          <w:p w14:paraId="1200F4A9">
            <w:pPr>
              <w:spacing w:beforeLines="0" w:afterLines="0" w:line="360" w:lineRule="auto"/>
              <w:ind w:firstLine="0" w:firstLineChars="0"/>
              <w:jc w:val="cente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表3-</w:t>
            </w:r>
            <w:r>
              <w:rPr>
                <w:rFonts w:hint="eastAsia" w:cs="Times New Roman"/>
                <w:b/>
                <w:bCs/>
                <w:color w:val="000000" w:themeColor="text1"/>
                <w:kern w:val="21"/>
                <w:sz w:val="24"/>
                <w:szCs w:val="24"/>
                <w:highlight w:val="none"/>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 xml:space="preserve"> 《四川省水泥工业大气污染物排放标准》  </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DB51/2864--2021</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w:t>
            </w:r>
          </w:p>
          <w:tbl>
            <w:tblPr>
              <w:tblStyle w:val="89"/>
              <w:tblW w:w="4998"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823"/>
              <w:gridCol w:w="2086"/>
              <w:gridCol w:w="1695"/>
              <w:gridCol w:w="2227"/>
            </w:tblGrid>
            <w:tr w14:paraId="2A825FF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1164" w:type="pct"/>
                  <w:vMerge w:val="restart"/>
                  <w:tcBorders>
                    <w:tl2br w:val="nil"/>
                    <w:tr2bl w:val="nil"/>
                  </w:tcBorders>
                  <w:shd w:val="clear" w:color="auto" w:fill="auto"/>
                  <w:noWrap w:val="0"/>
                  <w:vAlign w:val="center"/>
                </w:tcPr>
                <w:p w14:paraId="308D2AB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pacing w:val="9"/>
                      <w:sz w:val="21"/>
                      <w:szCs w:val="21"/>
                      <w:highlight w:val="none"/>
                      <w14:textFill>
                        <w14:solidFill>
                          <w14:schemeClr w14:val="tx1"/>
                        </w14:solidFill>
                      </w14:textFill>
                    </w:rPr>
                    <w:t>生</w:t>
                  </w:r>
                  <w:r>
                    <w:rPr>
                      <w:rFonts w:ascii="Times New Roman" w:hAnsi="Times New Roman" w:eastAsia="宋体" w:cs="Times New Roman"/>
                      <w:b/>
                      <w:bCs/>
                      <w:color w:val="000000" w:themeColor="text1"/>
                      <w:spacing w:val="8"/>
                      <w:sz w:val="21"/>
                      <w:szCs w:val="21"/>
                      <w:highlight w:val="none"/>
                      <w14:textFill>
                        <w14:solidFill>
                          <w14:schemeClr w14:val="tx1"/>
                        </w14:solidFill>
                      </w14:textFill>
                    </w:rPr>
                    <w:t>产过程</w:t>
                  </w:r>
                </w:p>
              </w:tc>
              <w:tc>
                <w:tcPr>
                  <w:tcW w:w="1332" w:type="pct"/>
                  <w:vMerge w:val="restart"/>
                  <w:tcBorders>
                    <w:tl2br w:val="nil"/>
                    <w:tr2bl w:val="nil"/>
                  </w:tcBorders>
                  <w:shd w:val="clear" w:color="auto" w:fill="auto"/>
                  <w:noWrap w:val="0"/>
                  <w:vAlign w:val="center"/>
                </w:tcPr>
                <w:p w14:paraId="43F8E74C">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pacing w:val="9"/>
                      <w:sz w:val="21"/>
                      <w:szCs w:val="21"/>
                      <w:highlight w:val="none"/>
                      <w14:textFill>
                        <w14:solidFill>
                          <w14:schemeClr w14:val="tx1"/>
                        </w14:solidFill>
                      </w14:textFill>
                    </w:rPr>
                    <w:t>生</w:t>
                  </w:r>
                  <w:r>
                    <w:rPr>
                      <w:rFonts w:ascii="Times New Roman" w:hAnsi="Times New Roman" w:eastAsia="宋体" w:cs="Times New Roman"/>
                      <w:b/>
                      <w:bCs/>
                      <w:color w:val="000000" w:themeColor="text1"/>
                      <w:spacing w:val="8"/>
                      <w:sz w:val="21"/>
                      <w:szCs w:val="21"/>
                      <w:highlight w:val="none"/>
                      <w14:textFill>
                        <w14:solidFill>
                          <w14:schemeClr w14:val="tx1"/>
                        </w14:solidFill>
                      </w14:textFill>
                    </w:rPr>
                    <w:t>产设备</w:t>
                  </w:r>
                </w:p>
              </w:tc>
              <w:tc>
                <w:tcPr>
                  <w:tcW w:w="2503" w:type="pct"/>
                  <w:gridSpan w:val="2"/>
                  <w:tcBorders>
                    <w:tl2br w:val="nil"/>
                    <w:tr2bl w:val="nil"/>
                  </w:tcBorders>
                  <w:shd w:val="clear" w:color="auto" w:fill="auto"/>
                  <w:noWrap w:val="0"/>
                  <w:vAlign w:val="center"/>
                </w:tcPr>
                <w:p w14:paraId="74929E2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pacing w:val="10"/>
                      <w:sz w:val="21"/>
                      <w:szCs w:val="21"/>
                      <w:highlight w:val="none"/>
                      <w14:textFill>
                        <w14:solidFill>
                          <w14:schemeClr w14:val="tx1"/>
                        </w14:solidFill>
                      </w14:textFill>
                    </w:rPr>
                    <w:t>颗</w:t>
                  </w:r>
                  <w:r>
                    <w:rPr>
                      <w:rFonts w:ascii="Times New Roman" w:hAnsi="Times New Roman" w:eastAsia="宋体" w:cs="Times New Roman"/>
                      <w:b/>
                      <w:bCs/>
                      <w:color w:val="000000" w:themeColor="text1"/>
                      <w:spacing w:val="8"/>
                      <w:sz w:val="21"/>
                      <w:szCs w:val="21"/>
                      <w:highlight w:val="none"/>
                      <w14:textFill>
                        <w14:solidFill>
                          <w14:schemeClr w14:val="tx1"/>
                        </w14:solidFill>
                      </w14:textFill>
                    </w:rPr>
                    <w:t>粒物</w:t>
                  </w:r>
                </w:p>
              </w:tc>
            </w:tr>
            <w:tr w14:paraId="529B248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vMerge w:val="continue"/>
                  <w:tcBorders>
                    <w:tl2br w:val="nil"/>
                    <w:tr2bl w:val="nil"/>
                  </w:tcBorders>
                  <w:shd w:val="clear" w:color="auto" w:fill="auto"/>
                  <w:noWrap w:val="0"/>
                  <w:vAlign w:val="center"/>
                </w:tcPr>
                <w:p w14:paraId="02F7138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1332" w:type="pct"/>
                  <w:vMerge w:val="continue"/>
                  <w:tcBorders>
                    <w:tl2br w:val="nil"/>
                    <w:tr2bl w:val="nil"/>
                  </w:tcBorders>
                  <w:shd w:val="clear" w:color="auto" w:fill="auto"/>
                  <w:noWrap w:val="0"/>
                  <w:vAlign w:val="center"/>
                </w:tcPr>
                <w:p w14:paraId="55C214FD">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1082" w:type="pct"/>
                  <w:tcBorders>
                    <w:tl2br w:val="nil"/>
                    <w:tr2bl w:val="nil"/>
                  </w:tcBorders>
                  <w:shd w:val="clear" w:color="auto" w:fill="auto"/>
                  <w:noWrap w:val="0"/>
                  <w:vAlign w:val="center"/>
                </w:tcPr>
                <w:p w14:paraId="1B3430DF">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pacing w:val="-1"/>
                      <w:sz w:val="21"/>
                      <w:szCs w:val="21"/>
                      <w:highlight w:val="none"/>
                      <w14:textFill>
                        <w14:solidFill>
                          <w14:schemeClr w14:val="tx1"/>
                        </w14:solidFill>
                      </w14:textFill>
                    </w:rPr>
                    <w:t>区</w:t>
                  </w:r>
                  <w:r>
                    <w:rPr>
                      <w:rFonts w:ascii="Times New Roman" w:hAnsi="Times New Roman" w:eastAsia="宋体" w:cs="Times New Roman"/>
                      <w:b/>
                      <w:bCs/>
                      <w:color w:val="000000" w:themeColor="text1"/>
                      <w:sz w:val="21"/>
                      <w:szCs w:val="21"/>
                      <w:highlight w:val="none"/>
                      <w14:textFill>
                        <w14:solidFill>
                          <w14:schemeClr w14:val="tx1"/>
                        </w14:solidFill>
                      </w14:textFill>
                    </w:rPr>
                    <w:t>域</w:t>
                  </w:r>
                </w:p>
              </w:tc>
              <w:tc>
                <w:tcPr>
                  <w:tcW w:w="1421" w:type="pct"/>
                  <w:tcBorders>
                    <w:tl2br w:val="nil"/>
                    <w:tr2bl w:val="nil"/>
                  </w:tcBorders>
                  <w:shd w:val="clear" w:color="auto" w:fill="auto"/>
                  <w:noWrap w:val="0"/>
                  <w:vAlign w:val="center"/>
                </w:tcPr>
                <w:p w14:paraId="1DF32612">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eastAsia="宋体" w:cs="Times New Roman"/>
                      <w:b/>
                      <w:bCs/>
                      <w:color w:val="000000" w:themeColor="text1"/>
                      <w:spacing w:val="4"/>
                      <w:position w:val="2"/>
                      <w:sz w:val="21"/>
                      <w:szCs w:val="21"/>
                      <w:highlight w:val="none"/>
                      <w14:textFill>
                        <w14:solidFill>
                          <w14:schemeClr w14:val="tx1"/>
                        </w14:solidFill>
                      </w14:textFill>
                    </w:rPr>
                    <w:t>排</w:t>
                  </w:r>
                  <w:r>
                    <w:rPr>
                      <w:rFonts w:ascii="Times New Roman" w:hAnsi="Times New Roman" w:eastAsia="宋体" w:cs="Times New Roman"/>
                      <w:b/>
                      <w:bCs/>
                      <w:color w:val="000000" w:themeColor="text1"/>
                      <w:spacing w:val="3"/>
                      <w:position w:val="2"/>
                      <w:sz w:val="21"/>
                      <w:szCs w:val="21"/>
                      <w:highlight w:val="none"/>
                      <w14:textFill>
                        <w14:solidFill>
                          <w14:schemeClr w14:val="tx1"/>
                        </w14:solidFill>
                      </w14:textFill>
                    </w:rPr>
                    <w:t>放浓度</w:t>
                  </w:r>
                  <w:r>
                    <w:rPr>
                      <w:rFonts w:ascii="Times New Roman" w:hAnsi="Times New Roman" w:eastAsia="Times New Roman" w:cs="Times New Roman"/>
                      <w:b/>
                      <w:bCs/>
                      <w:color w:val="000000" w:themeColor="text1"/>
                      <w:position w:val="2"/>
                      <w:sz w:val="21"/>
                      <w:szCs w:val="21"/>
                      <w:highlight w:val="none"/>
                      <w14:textFill>
                        <w14:solidFill>
                          <w14:schemeClr w14:val="tx1"/>
                        </w14:solidFill>
                      </w14:textFill>
                    </w:rPr>
                    <w:t>mg</w:t>
                  </w:r>
                  <w:r>
                    <w:rPr>
                      <w:rFonts w:ascii="Times New Roman" w:hAnsi="Times New Roman" w:eastAsia="Times New Roman" w:cs="Times New Roman"/>
                      <w:b/>
                      <w:bCs/>
                      <w:color w:val="000000" w:themeColor="text1"/>
                      <w:spacing w:val="3"/>
                      <w:position w:val="2"/>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position w:val="2"/>
                      <w:sz w:val="21"/>
                      <w:szCs w:val="21"/>
                      <w:highlight w:val="none"/>
                      <w:lang w:eastAsia="zh-CN"/>
                      <w14:textFill>
                        <w14:solidFill>
                          <w14:schemeClr w14:val="tx1"/>
                        </w14:solidFill>
                      </w14:textFill>
                    </w:rPr>
                    <w:t>m³</w:t>
                  </w:r>
                </w:p>
              </w:tc>
            </w:tr>
            <w:tr w14:paraId="7FA53C7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tcBorders>
                    <w:tl2br w:val="nil"/>
                    <w:tr2bl w:val="nil"/>
                  </w:tcBorders>
                  <w:shd w:val="clear" w:color="auto" w:fill="auto"/>
                  <w:noWrap w:val="0"/>
                  <w:vAlign w:val="center"/>
                </w:tcPr>
                <w:p w14:paraId="75C989EE">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pacing w:val="10"/>
                      <w:sz w:val="21"/>
                      <w:szCs w:val="21"/>
                      <w:highlight w:val="none"/>
                      <w14:textFill>
                        <w14:solidFill>
                          <w14:schemeClr w14:val="tx1"/>
                        </w14:solidFill>
                      </w14:textFill>
                    </w:rPr>
                    <w:t>散</w:t>
                  </w:r>
                  <w:r>
                    <w:rPr>
                      <w:rFonts w:ascii="Times New Roman" w:hAnsi="Times New Roman" w:eastAsia="宋体" w:cs="Times New Roman"/>
                      <w:color w:val="000000" w:themeColor="text1"/>
                      <w:spacing w:val="9"/>
                      <w:sz w:val="21"/>
                      <w:szCs w:val="21"/>
                      <w:highlight w:val="none"/>
                      <w14:textFill>
                        <w14:solidFill>
                          <w14:schemeClr w14:val="tx1"/>
                        </w14:solidFill>
                      </w14:textFill>
                    </w:rPr>
                    <w:t>装水泥中转站及</w:t>
                  </w:r>
                  <w:r>
                    <w:rPr>
                      <w:rFonts w:ascii="Times New Roman" w:hAnsi="Times New Roman" w:eastAsia="宋体" w:cs="Times New Roman"/>
                      <w:color w:val="000000" w:themeColor="text1"/>
                      <w:spacing w:val="10"/>
                      <w:sz w:val="21"/>
                      <w:szCs w:val="21"/>
                      <w:highlight w:val="none"/>
                      <w14:textFill>
                        <w14:solidFill>
                          <w14:schemeClr w14:val="tx1"/>
                        </w14:solidFill>
                      </w14:textFill>
                    </w:rPr>
                    <w:t>水</w:t>
                  </w:r>
                  <w:r>
                    <w:rPr>
                      <w:rFonts w:ascii="Times New Roman" w:hAnsi="Times New Roman" w:eastAsia="宋体" w:cs="Times New Roman"/>
                      <w:color w:val="000000" w:themeColor="text1"/>
                      <w:spacing w:val="8"/>
                      <w:sz w:val="21"/>
                      <w:szCs w:val="21"/>
                      <w:highlight w:val="none"/>
                      <w14:textFill>
                        <w14:solidFill>
                          <w14:schemeClr w14:val="tx1"/>
                        </w14:solidFill>
                      </w14:textFill>
                    </w:rPr>
                    <w:t>泥制品生产</w:t>
                  </w:r>
                </w:p>
              </w:tc>
              <w:tc>
                <w:tcPr>
                  <w:tcW w:w="1332" w:type="pct"/>
                  <w:tcBorders>
                    <w:tl2br w:val="nil"/>
                    <w:tr2bl w:val="nil"/>
                  </w:tcBorders>
                  <w:shd w:val="clear" w:color="auto" w:fill="auto"/>
                  <w:noWrap w:val="0"/>
                  <w:vAlign w:val="center"/>
                </w:tcPr>
                <w:p w14:paraId="45F4AA1B">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right="0" w:firstLine="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pacing w:val="9"/>
                      <w:sz w:val="21"/>
                      <w:szCs w:val="21"/>
                      <w:highlight w:val="none"/>
                      <w14:textFill>
                        <w14:solidFill>
                          <w14:schemeClr w14:val="tx1"/>
                        </w14:solidFill>
                      </w14:textFill>
                    </w:rPr>
                    <w:t>水泥仓及其他通</w:t>
                  </w:r>
                  <w:r>
                    <w:rPr>
                      <w:rFonts w:ascii="Times New Roman" w:hAnsi="Times New Roman" w:eastAsia="宋体" w:cs="Times New Roman"/>
                      <w:color w:val="000000" w:themeColor="text1"/>
                      <w:spacing w:val="7"/>
                      <w:sz w:val="21"/>
                      <w:szCs w:val="21"/>
                      <w:highlight w:val="none"/>
                      <w14:textFill>
                        <w14:solidFill>
                          <w14:schemeClr w14:val="tx1"/>
                        </w14:solidFill>
                      </w14:textFill>
                    </w:rPr>
                    <w:t>风</w:t>
                  </w:r>
                  <w:r>
                    <w:rPr>
                      <w:rFonts w:ascii="Times New Roman" w:hAnsi="Times New Roman" w:eastAsia="宋体" w:cs="Times New Roman"/>
                      <w:color w:val="000000" w:themeColor="text1"/>
                      <w:spacing w:val="8"/>
                      <w:sz w:val="21"/>
                      <w:szCs w:val="21"/>
                      <w:highlight w:val="none"/>
                      <w14:textFill>
                        <w14:solidFill>
                          <w14:schemeClr w14:val="tx1"/>
                        </w14:solidFill>
                      </w14:textFill>
                    </w:rPr>
                    <w:t>生产设</w:t>
                  </w:r>
                  <w:r>
                    <w:rPr>
                      <w:rFonts w:ascii="Times New Roman" w:hAnsi="Times New Roman" w:eastAsia="宋体" w:cs="Times New Roman"/>
                      <w:color w:val="000000" w:themeColor="text1"/>
                      <w:spacing w:val="7"/>
                      <w:sz w:val="21"/>
                      <w:szCs w:val="21"/>
                      <w:highlight w:val="none"/>
                      <w14:textFill>
                        <w14:solidFill>
                          <w14:schemeClr w14:val="tx1"/>
                        </w14:solidFill>
                      </w14:textFill>
                    </w:rPr>
                    <w:t>备</w:t>
                  </w:r>
                </w:p>
              </w:tc>
              <w:tc>
                <w:tcPr>
                  <w:tcW w:w="1082" w:type="pct"/>
                  <w:tcBorders>
                    <w:tl2br w:val="nil"/>
                    <w:tr2bl w:val="nil"/>
                  </w:tcBorders>
                  <w:shd w:val="clear" w:color="auto" w:fill="auto"/>
                  <w:noWrap w:val="0"/>
                  <w:vAlign w:val="center"/>
                </w:tcPr>
                <w:p w14:paraId="7ED5E08D">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pacing w:val="6"/>
                      <w:sz w:val="21"/>
                      <w:szCs w:val="21"/>
                      <w:highlight w:val="none"/>
                      <w14:textFill>
                        <w14:solidFill>
                          <w14:schemeClr w14:val="tx1"/>
                        </w14:solidFill>
                      </w14:textFill>
                    </w:rPr>
                    <w:t>四</w:t>
                  </w:r>
                  <w:r>
                    <w:rPr>
                      <w:rFonts w:ascii="Times New Roman" w:hAnsi="Times New Roman" w:eastAsia="宋体" w:cs="Times New Roman"/>
                      <w:color w:val="000000" w:themeColor="text1"/>
                      <w:spacing w:val="5"/>
                      <w:sz w:val="21"/>
                      <w:szCs w:val="21"/>
                      <w:highlight w:val="none"/>
                      <w14:textFill>
                        <w14:solidFill>
                          <w14:schemeClr w14:val="tx1"/>
                        </w14:solidFill>
                      </w14:textFill>
                    </w:rPr>
                    <w:t>川省全域</w:t>
                  </w:r>
                </w:p>
              </w:tc>
              <w:tc>
                <w:tcPr>
                  <w:tcW w:w="1421" w:type="pct"/>
                  <w:tcBorders>
                    <w:tl2br w:val="nil"/>
                    <w:tr2bl w:val="nil"/>
                  </w:tcBorders>
                  <w:shd w:val="clear" w:color="auto" w:fill="auto"/>
                  <w:noWrap w:val="0"/>
                  <w:vAlign w:val="center"/>
                </w:tcPr>
                <w:p w14:paraId="4166909C">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10</w:t>
                  </w:r>
                </w:p>
              </w:tc>
            </w:tr>
            <w:tr w14:paraId="7EC4B9E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00" w:type="pct"/>
                  <w:gridSpan w:val="4"/>
                  <w:tcBorders>
                    <w:tl2br w:val="nil"/>
                    <w:tr2bl w:val="nil"/>
                  </w:tcBorders>
                  <w:shd w:val="clear" w:color="auto" w:fill="auto"/>
                  <w:noWrap w:val="0"/>
                  <w:vAlign w:val="center"/>
                </w:tcPr>
                <w:p w14:paraId="4BD87CC2">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Times New Roman"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企业边界大气污染物浓度限值</w:t>
                  </w:r>
                </w:p>
              </w:tc>
            </w:tr>
            <w:tr w14:paraId="52515C7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tcBorders>
                    <w:tl2br w:val="nil"/>
                    <w:tr2bl w:val="nil"/>
                  </w:tcBorders>
                  <w:shd w:val="clear" w:color="auto" w:fill="auto"/>
                  <w:noWrap w:val="0"/>
                  <w:vAlign w:val="center"/>
                </w:tcPr>
                <w:p w14:paraId="0039317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污</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染物项目</w:t>
                  </w:r>
                </w:p>
              </w:tc>
              <w:tc>
                <w:tcPr>
                  <w:tcW w:w="1332" w:type="pct"/>
                  <w:tcBorders>
                    <w:tl2br w:val="nil"/>
                    <w:tr2bl w:val="nil"/>
                  </w:tcBorders>
                  <w:shd w:val="clear" w:color="auto" w:fill="auto"/>
                  <w:noWrap w:val="0"/>
                  <w:vAlign w:val="center"/>
                </w:tcPr>
                <w:p w14:paraId="42392735">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区</w:t>
                  </w:r>
                  <w:r>
                    <w:rPr>
                      <w:rFonts w:hint="default" w:ascii="Times New Roman" w:hAnsi="Times New Roman" w:eastAsia="宋体" w:cs="Times New Roman"/>
                      <w:color w:val="000000" w:themeColor="text1"/>
                      <w:sz w:val="21"/>
                      <w:szCs w:val="21"/>
                      <w:highlight w:val="none"/>
                      <w14:textFill>
                        <w14:solidFill>
                          <w14:schemeClr w14:val="tx1"/>
                        </w14:solidFill>
                      </w14:textFill>
                    </w:rPr>
                    <w:t>域</w:t>
                  </w:r>
                </w:p>
              </w:tc>
              <w:tc>
                <w:tcPr>
                  <w:tcW w:w="1082" w:type="pct"/>
                  <w:tcBorders>
                    <w:tl2br w:val="nil"/>
                    <w:tr2bl w:val="nil"/>
                  </w:tcBorders>
                  <w:shd w:val="clear" w:color="auto" w:fill="auto"/>
                  <w:noWrap w:val="0"/>
                  <w:vAlign w:val="center"/>
                </w:tcPr>
                <w:p w14:paraId="41592B2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限值</w:t>
                  </w:r>
                </w:p>
              </w:tc>
              <w:tc>
                <w:tcPr>
                  <w:tcW w:w="1421" w:type="pct"/>
                  <w:tcBorders>
                    <w:tl2br w:val="nil"/>
                    <w:tr2bl w:val="nil"/>
                  </w:tcBorders>
                  <w:shd w:val="clear" w:color="auto" w:fill="auto"/>
                  <w:noWrap w:val="0"/>
                  <w:vAlign w:val="center"/>
                </w:tcPr>
                <w:p w14:paraId="7F0487A4">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备注</w:t>
                  </w:r>
                </w:p>
              </w:tc>
            </w:tr>
            <w:tr w14:paraId="2DD3172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tcBorders>
                    <w:tl2br w:val="nil"/>
                    <w:tr2bl w:val="nil"/>
                  </w:tcBorders>
                  <w:shd w:val="clear" w:color="auto" w:fill="auto"/>
                  <w:noWrap w:val="0"/>
                  <w:vAlign w:val="center"/>
                </w:tcPr>
                <w:p w14:paraId="2B9B1C98">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颗粒</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物</w:t>
                  </w:r>
                </w:p>
              </w:tc>
              <w:tc>
                <w:tcPr>
                  <w:tcW w:w="1332" w:type="pct"/>
                  <w:tcBorders>
                    <w:tl2br w:val="nil"/>
                    <w:tr2bl w:val="nil"/>
                  </w:tcBorders>
                  <w:shd w:val="clear" w:color="auto" w:fill="auto"/>
                  <w:noWrap w:val="0"/>
                  <w:vAlign w:val="center"/>
                </w:tcPr>
                <w:p w14:paraId="71BE0904">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阿</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坝</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、甘孜、凉山州、</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攀</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枝花市</w:t>
                  </w:r>
                </w:p>
              </w:tc>
              <w:tc>
                <w:tcPr>
                  <w:tcW w:w="1082" w:type="pct"/>
                  <w:tcBorders>
                    <w:tl2br w:val="nil"/>
                    <w:tr2bl w:val="nil"/>
                  </w:tcBorders>
                  <w:shd w:val="clear" w:color="auto" w:fill="auto"/>
                  <w:noWrap w:val="0"/>
                  <w:vAlign w:val="center"/>
                </w:tcPr>
                <w:p w14:paraId="6AF37AA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pacing w:val="8"/>
                      <w:position w:val="1"/>
                      <w:sz w:val="21"/>
                      <w:szCs w:val="21"/>
                      <w:highlight w:val="none"/>
                      <w14:textFill>
                        <w14:solidFill>
                          <w14:schemeClr w14:val="tx1"/>
                        </w14:solidFill>
                      </w14:textFill>
                    </w:rPr>
                    <w:t>0</w:t>
                  </w:r>
                  <w:r>
                    <w:rPr>
                      <w:rFonts w:hint="default" w:ascii="Times New Roman" w:hAnsi="Times New Roman" w:eastAsia="Times New Roman" w:cs="Times New Roman"/>
                      <w:color w:val="000000" w:themeColor="text1"/>
                      <w:spacing w:val="6"/>
                      <w:position w:val="1"/>
                      <w:sz w:val="21"/>
                      <w:szCs w:val="21"/>
                      <w:highlight w:val="none"/>
                      <w14:textFill>
                        <w14:solidFill>
                          <w14:schemeClr w14:val="tx1"/>
                        </w14:solidFill>
                      </w14:textFill>
                    </w:rPr>
                    <w:t>.5</w:t>
                  </w:r>
                  <w:r>
                    <w:rPr>
                      <w:rFonts w:hint="default" w:ascii="Times New Roman" w:hAnsi="Times New Roman" w:eastAsia="Times New Roman" w:cs="Times New Roman"/>
                      <w:color w:val="000000" w:themeColor="text1"/>
                      <w:position w:val="1"/>
                      <w:sz w:val="21"/>
                      <w:szCs w:val="21"/>
                      <w:highlight w:val="none"/>
                      <w14:textFill>
                        <w14:solidFill>
                          <w14:schemeClr w14:val="tx1"/>
                        </w14:solidFill>
                      </w14:textFill>
                    </w:rPr>
                    <w:t>mg</w:t>
                  </w:r>
                  <w:r>
                    <w:rPr>
                      <w:rFonts w:hint="default" w:ascii="Times New Roman" w:hAnsi="Times New Roman" w:eastAsia="Times New Roman" w:cs="Times New Roman"/>
                      <w:color w:val="000000" w:themeColor="text1"/>
                      <w:spacing w:val="6"/>
                      <w:position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lang w:eastAsia="zh-CN"/>
                      <w14:textFill>
                        <w14:solidFill>
                          <w14:schemeClr w14:val="tx1"/>
                        </w14:solidFill>
                      </w14:textFill>
                    </w:rPr>
                    <w:t>m³</w:t>
                  </w:r>
                </w:p>
              </w:tc>
              <w:tc>
                <w:tcPr>
                  <w:tcW w:w="1421" w:type="pct"/>
                  <w:tcBorders>
                    <w:tl2br w:val="nil"/>
                    <w:tr2bl w:val="nil"/>
                  </w:tcBorders>
                  <w:shd w:val="clear" w:color="auto" w:fill="auto"/>
                  <w:noWrap w:val="0"/>
                  <w:vAlign w:val="center"/>
                </w:tcPr>
                <w:p w14:paraId="4AE36F66">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r>
            <w:tr w14:paraId="3059630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00" w:type="pct"/>
                  <w:gridSpan w:val="4"/>
                  <w:tcBorders>
                    <w:tl2br w:val="nil"/>
                    <w:tr2bl w:val="nil"/>
                  </w:tcBorders>
                  <w:shd w:val="clear" w:color="auto" w:fill="auto"/>
                  <w:noWrap w:val="0"/>
                  <w:vAlign w:val="center"/>
                </w:tcPr>
                <w:p w14:paraId="44D2D5E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jc w:val="center"/>
                    <w:textAlignment w:val="auto"/>
                    <w:rPr>
                      <w:rFonts w:ascii="Times New Roman" w:hAnsi="Times New Roman" w:eastAsia="Times New Roman"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厂区内颗粒物无组织排放限值</w:t>
                  </w:r>
                </w:p>
              </w:tc>
            </w:tr>
            <w:tr w14:paraId="5FBA7D2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tcBorders>
                    <w:tl2br w:val="nil"/>
                    <w:tr2bl w:val="nil"/>
                  </w:tcBorders>
                  <w:shd w:val="clear" w:color="auto" w:fill="auto"/>
                  <w:noWrap w:val="0"/>
                  <w:vAlign w:val="center"/>
                </w:tcPr>
                <w:p w14:paraId="24889A5F">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污</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染物项目</w:t>
                  </w:r>
                </w:p>
              </w:tc>
              <w:tc>
                <w:tcPr>
                  <w:tcW w:w="1332" w:type="pct"/>
                  <w:tcBorders>
                    <w:tl2br w:val="nil"/>
                    <w:tr2bl w:val="nil"/>
                  </w:tcBorders>
                  <w:shd w:val="clear" w:color="auto" w:fill="auto"/>
                  <w:noWrap w:val="0"/>
                  <w:vAlign w:val="center"/>
                </w:tcPr>
                <w:p w14:paraId="7A55D1D5">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限值</w:t>
                  </w:r>
                </w:p>
              </w:tc>
              <w:tc>
                <w:tcPr>
                  <w:tcW w:w="1082" w:type="pct"/>
                  <w:tcBorders>
                    <w:tl2br w:val="nil"/>
                    <w:tr2bl w:val="nil"/>
                  </w:tcBorders>
                  <w:shd w:val="clear" w:color="auto" w:fill="auto"/>
                  <w:noWrap w:val="0"/>
                  <w:vAlign w:val="center"/>
                </w:tcPr>
                <w:p w14:paraId="0D6DFA6F">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限值含义</w:t>
                  </w:r>
                </w:p>
              </w:tc>
              <w:tc>
                <w:tcPr>
                  <w:tcW w:w="1421" w:type="pct"/>
                  <w:tcBorders>
                    <w:tl2br w:val="nil"/>
                    <w:tr2bl w:val="nil"/>
                  </w:tcBorders>
                  <w:shd w:val="clear" w:color="auto" w:fill="auto"/>
                  <w:noWrap w:val="0"/>
                  <w:vAlign w:val="center"/>
                </w:tcPr>
                <w:p w14:paraId="166F1A06">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无组织排放监控位置</w:t>
                  </w:r>
                </w:p>
              </w:tc>
            </w:tr>
            <w:tr w14:paraId="161D2BB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64" w:type="pct"/>
                  <w:tcBorders>
                    <w:tl2br w:val="nil"/>
                    <w:tr2bl w:val="nil"/>
                  </w:tcBorders>
                  <w:shd w:val="clear" w:color="auto" w:fill="auto"/>
                  <w:noWrap w:val="0"/>
                  <w:vAlign w:val="center"/>
                </w:tcPr>
                <w:p w14:paraId="0B2D863F">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颗粒</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物</w:t>
                  </w:r>
                </w:p>
              </w:tc>
              <w:tc>
                <w:tcPr>
                  <w:tcW w:w="1332" w:type="pct"/>
                  <w:tcBorders>
                    <w:tl2br w:val="nil"/>
                    <w:tr2bl w:val="nil"/>
                  </w:tcBorders>
                  <w:shd w:val="clear" w:color="auto" w:fill="auto"/>
                  <w:noWrap w:val="0"/>
                  <w:vAlign w:val="center"/>
                </w:tcPr>
                <w:p w14:paraId="155E2348">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1082" w:type="pct"/>
                  <w:tcBorders>
                    <w:tl2br w:val="nil"/>
                    <w:tr2bl w:val="nil"/>
                  </w:tcBorders>
                  <w:shd w:val="clear" w:color="auto" w:fill="auto"/>
                  <w:noWrap w:val="0"/>
                  <w:vAlign w:val="center"/>
                </w:tcPr>
                <w:p w14:paraId="19955189">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监</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控点处</w:t>
                  </w:r>
                  <w:r>
                    <w:rPr>
                      <w:rFonts w:hint="default" w:ascii="Times New Roman" w:hAnsi="Times New Roman" w:eastAsia="Times New Roman" w:cs="Times New Roman"/>
                      <w:color w:val="000000" w:themeColor="text1"/>
                      <w:spacing w:val="3"/>
                      <w:sz w:val="21"/>
                      <w:szCs w:val="21"/>
                      <w:highlight w:val="none"/>
                      <w14:textFill>
                        <w14:solidFill>
                          <w14:schemeClr w14:val="tx1"/>
                        </w14:solidFill>
                      </w14:textFill>
                    </w:rPr>
                    <w:t>1</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平均浓</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度</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值</w:t>
                  </w:r>
                </w:p>
              </w:tc>
              <w:tc>
                <w:tcPr>
                  <w:tcW w:w="1421" w:type="pct"/>
                  <w:tcBorders>
                    <w:tl2br w:val="nil"/>
                    <w:tr2bl w:val="nil"/>
                  </w:tcBorders>
                  <w:shd w:val="clear" w:color="auto" w:fill="auto"/>
                  <w:noWrap w:val="0"/>
                  <w:vAlign w:val="center"/>
                </w:tcPr>
                <w:p w14:paraId="17DEED38">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在</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厂房外设置监控点</w:t>
                  </w:r>
                </w:p>
              </w:tc>
            </w:tr>
          </w:tbl>
          <w:p w14:paraId="7019399B">
            <w:pPr>
              <w:pStyle w:val="80"/>
              <w:tabs>
                <w:tab w:val="left" w:pos="2798"/>
              </w:tabs>
              <w:jc w:val="center"/>
              <w:rPr>
                <w:rFonts w:hint="default" w:ascii="Times New Roman" w:hAnsi="Times New Roman" w:eastAsia="宋体" w:cs="Times New Roman"/>
                <w:b/>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1"/>
                <w:sz w:val="24"/>
                <w:szCs w:val="24"/>
                <w:highlight w:val="none"/>
                <w14:textFill>
                  <w14:solidFill>
                    <w14:schemeClr w14:val="tx1"/>
                  </w14:solidFill>
                </w14:textFill>
              </w:rPr>
              <w:t>表3-</w:t>
            </w:r>
            <w:r>
              <w:rPr>
                <w:rFonts w:hint="eastAsia" w:cs="Times New Roman"/>
                <w:b/>
                <w:color w:val="000000" w:themeColor="text1"/>
                <w:kern w:val="2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21"/>
                <w:sz w:val="24"/>
                <w:szCs w:val="24"/>
                <w:highlight w:val="none"/>
                <w14:textFill>
                  <w14:solidFill>
                    <w14:schemeClr w14:val="tx1"/>
                  </w14:solidFill>
                </w14:textFill>
              </w:rPr>
              <w:t>《饮食业油烟排放标准（试行）》</w:t>
            </w:r>
            <w:r>
              <w:rPr>
                <w:rFonts w:hint="default" w:ascii="Times New Roman" w:hAnsi="Times New Roman" w:eastAsia="宋体" w:cs="Times New Roman"/>
                <w:b/>
                <w:color w:val="000000" w:themeColor="text1"/>
                <w:kern w:val="21"/>
                <w:sz w:val="24"/>
                <w:szCs w:val="24"/>
                <w:highlight w:val="none"/>
                <w:lang w:val="en-US" w:eastAsia="zh-CN"/>
                <w14:textFill>
                  <w14:solidFill>
                    <w14:schemeClr w14:val="tx1"/>
                  </w14:solidFill>
                </w14:textFill>
              </w:rPr>
              <w:t xml:space="preserve">  （GB18483-2001） </w:t>
            </w:r>
          </w:p>
          <w:tbl>
            <w:tblPr>
              <w:tblStyle w:val="35"/>
              <w:tblW w:w="4998"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907"/>
              <w:gridCol w:w="1719"/>
              <w:gridCol w:w="1587"/>
              <w:gridCol w:w="1618"/>
            </w:tblGrid>
            <w:tr w14:paraId="5052C539">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56" w:type="pct"/>
                  <w:tcBorders>
                    <w:tl2br w:val="nil"/>
                    <w:tr2bl w:val="nil"/>
                  </w:tcBorders>
                  <w:shd w:val="clear" w:color="auto" w:fill="auto"/>
                  <w:noWrap w:val="0"/>
                  <w:vAlign w:val="top"/>
                </w:tcPr>
                <w:p w14:paraId="6E583F34">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规模</w:t>
                  </w:r>
                </w:p>
              </w:tc>
              <w:tc>
                <w:tcPr>
                  <w:tcW w:w="1097" w:type="pct"/>
                  <w:tcBorders>
                    <w:tl2br w:val="nil"/>
                    <w:tr2bl w:val="nil"/>
                  </w:tcBorders>
                  <w:shd w:val="clear" w:color="auto" w:fill="auto"/>
                  <w:noWrap w:val="0"/>
                  <w:vAlign w:val="top"/>
                </w:tcPr>
                <w:p w14:paraId="75A59DB3">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小型</w:t>
                  </w:r>
                </w:p>
              </w:tc>
              <w:tc>
                <w:tcPr>
                  <w:tcW w:w="1013" w:type="pct"/>
                  <w:tcBorders>
                    <w:tl2br w:val="nil"/>
                    <w:tr2bl w:val="nil"/>
                  </w:tcBorders>
                  <w:shd w:val="clear" w:color="auto" w:fill="auto"/>
                  <w:noWrap w:val="0"/>
                  <w:vAlign w:val="top"/>
                </w:tcPr>
                <w:p w14:paraId="02396E94">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中型</w:t>
                  </w:r>
                </w:p>
              </w:tc>
              <w:tc>
                <w:tcPr>
                  <w:tcW w:w="1033" w:type="pct"/>
                  <w:tcBorders>
                    <w:tl2br w:val="nil"/>
                    <w:tr2bl w:val="nil"/>
                  </w:tcBorders>
                  <w:shd w:val="clear" w:color="auto" w:fill="auto"/>
                  <w:noWrap w:val="0"/>
                  <w:vAlign w:val="top"/>
                </w:tcPr>
                <w:p w14:paraId="358BCD58">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大型</w:t>
                  </w:r>
                </w:p>
              </w:tc>
            </w:tr>
            <w:tr w14:paraId="1EC72163">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56" w:type="pct"/>
                  <w:tcBorders>
                    <w:tl2br w:val="nil"/>
                    <w:tr2bl w:val="nil"/>
                  </w:tcBorders>
                  <w:shd w:val="clear" w:color="auto" w:fill="auto"/>
                  <w:noWrap w:val="0"/>
                  <w:vAlign w:val="top"/>
                </w:tcPr>
                <w:p w14:paraId="3208824A">
                  <w:pPr>
                    <w:pStyle w:val="80"/>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最高允许排放浓度（mg/</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3143" w:type="pct"/>
                  <w:gridSpan w:val="3"/>
                  <w:tcBorders>
                    <w:tl2br w:val="nil"/>
                    <w:tr2bl w:val="nil"/>
                  </w:tcBorders>
                  <w:shd w:val="clear" w:color="auto" w:fill="auto"/>
                  <w:noWrap w:val="0"/>
                  <w:vAlign w:val="top"/>
                </w:tcPr>
                <w:p w14:paraId="22DA6966">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2.0</w:t>
                  </w:r>
                </w:p>
              </w:tc>
            </w:tr>
            <w:tr w14:paraId="02D24D45">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56" w:type="pct"/>
                  <w:tcBorders>
                    <w:tl2br w:val="nil"/>
                    <w:tr2bl w:val="nil"/>
                  </w:tcBorders>
                  <w:shd w:val="clear" w:color="auto" w:fill="auto"/>
                  <w:noWrap w:val="0"/>
                  <w:vAlign w:val="top"/>
                </w:tcPr>
                <w:p w14:paraId="7792B679">
                  <w:pPr>
                    <w:pStyle w:val="80"/>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净化设施最低去除效率（%）</w:t>
                  </w:r>
                </w:p>
              </w:tc>
              <w:tc>
                <w:tcPr>
                  <w:tcW w:w="1097" w:type="pct"/>
                  <w:tcBorders>
                    <w:tl2br w:val="nil"/>
                    <w:tr2bl w:val="nil"/>
                  </w:tcBorders>
                  <w:shd w:val="clear" w:color="auto" w:fill="auto"/>
                  <w:noWrap w:val="0"/>
                  <w:vAlign w:val="top"/>
                </w:tcPr>
                <w:p w14:paraId="1A7213DB">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60</w:t>
                  </w:r>
                </w:p>
              </w:tc>
              <w:tc>
                <w:tcPr>
                  <w:tcW w:w="1013" w:type="pct"/>
                  <w:tcBorders>
                    <w:tl2br w:val="nil"/>
                    <w:tr2bl w:val="nil"/>
                  </w:tcBorders>
                  <w:shd w:val="clear" w:color="auto" w:fill="auto"/>
                  <w:noWrap w:val="0"/>
                  <w:vAlign w:val="top"/>
                </w:tcPr>
                <w:p w14:paraId="68CFF27B">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75</w:t>
                  </w:r>
                </w:p>
              </w:tc>
              <w:tc>
                <w:tcPr>
                  <w:tcW w:w="1033" w:type="pct"/>
                  <w:tcBorders>
                    <w:tl2br w:val="nil"/>
                    <w:tr2bl w:val="nil"/>
                  </w:tcBorders>
                  <w:shd w:val="clear" w:color="auto" w:fill="auto"/>
                  <w:noWrap w:val="0"/>
                  <w:vAlign w:val="top"/>
                </w:tcPr>
                <w:p w14:paraId="2A17C035">
                  <w:pPr>
                    <w:pStyle w:val="80"/>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85</w:t>
                  </w:r>
                </w:p>
              </w:tc>
            </w:tr>
          </w:tbl>
          <w:p w14:paraId="5202F194">
            <w:pPr>
              <w:keepNext w:val="0"/>
              <w:keepLines w:val="0"/>
              <w:pageBreakBefore w:val="0"/>
              <w:widowControl/>
              <w:numPr>
                <w:ilvl w:val="0"/>
                <w:numId w:val="5"/>
              </w:numPr>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废水</w:t>
            </w:r>
          </w:p>
          <w:p w14:paraId="62CC671C">
            <w:pPr>
              <w:spacing w:beforeLines="0" w:afterLines="0" w:line="360" w:lineRule="auto"/>
              <w:ind w:firstLine="720" w:firstLineChars="3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本项目喷雾降尘水进入产品或蒸发损耗，无废水产生；生产废水经进入项目沉淀池沉淀后循环使用，不外排；</w:t>
            </w:r>
          </w:p>
          <w:p w14:paraId="66908DBC">
            <w:pPr>
              <w:spacing w:beforeLines="0" w:afterLines="0" w:line="360" w:lineRule="auto"/>
              <w:ind w:firstLine="720" w:firstLineChars="3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kern w:val="21"/>
                <w:sz w:val="24"/>
                <w:szCs w:val="24"/>
                <w:highlight w:val="none"/>
                <w:lang w:val="en-US" w:eastAsia="zh-CN"/>
                <w14:textFill>
                  <w14:solidFill>
                    <w14:schemeClr w14:val="tx1"/>
                  </w14:solidFill>
                </w14:textFill>
              </w:rPr>
              <w:t>食堂废水和生活污水经过预处理处理达到《污水综合排放标准》（GB 8978-1996）三级标准后进入市政管网，排入甘孜县县城污水处理厂处理达标后经雅砻江排放。其中总氮（以 N 计）、氨氮（以 N 计）、氯化物（以 Cl 计）、总磷（以 P 计）参照《污水排入城镇下水道水质标准》（GB/T 31962-2015）表 1 中 B 级标准。</w:t>
            </w:r>
          </w:p>
          <w:p w14:paraId="4E690A9F">
            <w:pPr>
              <w:pStyle w:val="117"/>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eastAsia" w:cs="Times New Roman"/>
                <w:color w:val="000000" w:themeColor="text1"/>
                <w:highlight w:val="none"/>
                <w:lang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厂内排放</w:t>
            </w:r>
            <w:r>
              <w:rPr>
                <w:rFonts w:hint="default" w:ascii="Times New Roman" w:hAnsi="Times New Roman" w:cs="Times New Roman"/>
                <w:color w:val="000000" w:themeColor="text1"/>
                <w:highlight w:val="none"/>
                <w14:textFill>
                  <w14:solidFill>
                    <w14:schemeClr w14:val="tx1"/>
                  </w14:solidFill>
                </w14:textFill>
              </w:rPr>
              <w:t>废水污染物排放标准</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305"/>
              <w:gridCol w:w="2612"/>
              <w:gridCol w:w="2610"/>
            </w:tblGrid>
            <w:tr w14:paraId="1BE04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463318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t>序号</w:t>
                  </w:r>
                </w:p>
              </w:tc>
              <w:tc>
                <w:tcPr>
                  <w:tcW w:w="833" w:type="pct"/>
                  <w:tcBorders>
                    <w:tl2br w:val="nil"/>
                    <w:tr2bl w:val="nil"/>
                  </w:tcBorders>
                  <w:noWrap w:val="0"/>
                  <w:vAlign w:val="center"/>
                </w:tcPr>
                <w:p w14:paraId="4AF28E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t>污染物种类</w:t>
                  </w:r>
                </w:p>
              </w:tc>
              <w:tc>
                <w:tcPr>
                  <w:tcW w:w="1667" w:type="pct"/>
                  <w:tcBorders>
                    <w:tl2br w:val="nil"/>
                    <w:tr2bl w:val="nil"/>
                  </w:tcBorders>
                  <w:noWrap w:val="0"/>
                  <w:vAlign w:val="center"/>
                </w:tcPr>
                <w:p w14:paraId="103F09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t>标准限值</w:t>
                  </w:r>
                </w:p>
              </w:tc>
              <w:tc>
                <w:tcPr>
                  <w:tcW w:w="1666" w:type="pct"/>
                  <w:tcBorders>
                    <w:tl2br w:val="nil"/>
                    <w:tr2bl w:val="nil"/>
                  </w:tcBorders>
                  <w:noWrap w:val="0"/>
                  <w:vAlign w:val="center"/>
                </w:tcPr>
                <w:p w14:paraId="4388BA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w w:val="100"/>
                      <w:position w:val="0"/>
                      <w:sz w:val="21"/>
                      <w:szCs w:val="18"/>
                      <w:highlight w:val="none"/>
                      <w:lang w:val="en-US" w:eastAsia="zh-CN"/>
                      <w14:textFill>
                        <w14:solidFill>
                          <w14:schemeClr w14:val="tx1"/>
                        </w14:solidFill>
                      </w14:textFill>
                    </w:rPr>
                    <w:t>执行标准</w:t>
                  </w:r>
                </w:p>
              </w:tc>
            </w:tr>
            <w:tr w14:paraId="7CD23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4C0645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1</w:t>
                  </w:r>
                </w:p>
              </w:tc>
              <w:tc>
                <w:tcPr>
                  <w:tcW w:w="833" w:type="pct"/>
                  <w:tcBorders>
                    <w:tl2br w:val="nil"/>
                    <w:tr2bl w:val="nil"/>
                  </w:tcBorders>
                  <w:noWrap w:val="0"/>
                  <w:vAlign w:val="center"/>
                </w:tcPr>
                <w:p w14:paraId="1F589A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pH</w:t>
                  </w:r>
                </w:p>
              </w:tc>
              <w:tc>
                <w:tcPr>
                  <w:tcW w:w="1667" w:type="pct"/>
                  <w:tcBorders>
                    <w:tl2br w:val="nil"/>
                    <w:tr2bl w:val="nil"/>
                  </w:tcBorders>
                  <w:noWrap w:val="0"/>
                  <w:vAlign w:val="center"/>
                </w:tcPr>
                <w:p w14:paraId="79A6C2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6~9</w:t>
                  </w:r>
                </w:p>
              </w:tc>
              <w:tc>
                <w:tcPr>
                  <w:tcW w:w="1666" w:type="pct"/>
                  <w:vMerge w:val="restart"/>
                  <w:tcBorders>
                    <w:tl2br w:val="nil"/>
                    <w:tr2bl w:val="nil"/>
                  </w:tcBorders>
                  <w:noWrap w:val="0"/>
                  <w:vAlign w:val="center"/>
                </w:tcPr>
                <w:p w14:paraId="536C06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《污水综合排放标准》（GB 8978-1996）三级标准</w:t>
                  </w:r>
                  <w:r>
                    <w:rPr>
                      <w:rFonts w:hint="default" w:ascii="Times New Roman" w:hAnsi="Times New Roman" w:eastAsia="宋体" w:cs="Times New Roman"/>
                      <w:color w:val="000000" w:themeColor="text1"/>
                      <w:spacing w:val="0"/>
                      <w:w w:val="100"/>
                      <w:position w:val="0"/>
                      <w:sz w:val="21"/>
                      <w:szCs w:val="18"/>
                      <w:highlight w:val="none"/>
                      <w:lang w:eastAsia="zh-CN"/>
                      <w14:textFill>
                        <w14:solidFill>
                          <w14:schemeClr w14:val="tx1"/>
                        </w14:solidFill>
                      </w14:textFill>
                    </w:rPr>
                    <w:t>限值</w:t>
                  </w:r>
                </w:p>
              </w:tc>
            </w:tr>
            <w:tr w14:paraId="4231F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30C3DC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2</w:t>
                  </w:r>
                </w:p>
              </w:tc>
              <w:tc>
                <w:tcPr>
                  <w:tcW w:w="833" w:type="pct"/>
                  <w:tcBorders>
                    <w:tl2br w:val="nil"/>
                    <w:tr2bl w:val="nil"/>
                  </w:tcBorders>
                  <w:noWrap w:val="0"/>
                  <w:vAlign w:val="center"/>
                </w:tcPr>
                <w:p w14:paraId="49169D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CODcr</w:t>
                  </w:r>
                </w:p>
              </w:tc>
              <w:tc>
                <w:tcPr>
                  <w:tcW w:w="1667" w:type="pct"/>
                  <w:tcBorders>
                    <w:tl2br w:val="nil"/>
                    <w:tr2bl w:val="nil"/>
                  </w:tcBorders>
                  <w:noWrap w:val="0"/>
                  <w:vAlign w:val="center"/>
                </w:tcPr>
                <w:p w14:paraId="383824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500</w:t>
                  </w:r>
                </w:p>
              </w:tc>
              <w:tc>
                <w:tcPr>
                  <w:tcW w:w="1666" w:type="pct"/>
                  <w:vMerge w:val="continue"/>
                  <w:tcBorders>
                    <w:tl2br w:val="nil"/>
                    <w:tr2bl w:val="nil"/>
                  </w:tcBorders>
                  <w:noWrap w:val="0"/>
                  <w:vAlign w:val="center"/>
                </w:tcPr>
                <w:p w14:paraId="7A488B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r w14:paraId="20806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1343BF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3</w:t>
                  </w:r>
                </w:p>
              </w:tc>
              <w:tc>
                <w:tcPr>
                  <w:tcW w:w="833" w:type="pct"/>
                  <w:tcBorders>
                    <w:tl2br w:val="nil"/>
                    <w:tr2bl w:val="nil"/>
                  </w:tcBorders>
                  <w:noWrap w:val="0"/>
                  <w:vAlign w:val="center"/>
                </w:tcPr>
                <w:p w14:paraId="1CE8AF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pacing w:val="0"/>
                      <w:w w:val="100"/>
                      <w:position w:val="0"/>
                      <w:sz w:val="21"/>
                      <w:szCs w:val="18"/>
                      <w:highlight w:val="none"/>
                      <w:vertAlign w:val="subscript"/>
                      <w:lang w:val="en-US" w:eastAsia="zh-CN"/>
                      <w14:textFill>
                        <w14:solidFill>
                          <w14:schemeClr w14:val="tx1"/>
                        </w14:solidFill>
                      </w14:textFill>
                    </w:rPr>
                    <w:t>5</w:t>
                  </w:r>
                </w:p>
              </w:tc>
              <w:tc>
                <w:tcPr>
                  <w:tcW w:w="1667" w:type="pct"/>
                  <w:tcBorders>
                    <w:tl2br w:val="nil"/>
                    <w:tr2bl w:val="nil"/>
                  </w:tcBorders>
                  <w:noWrap w:val="0"/>
                  <w:vAlign w:val="center"/>
                </w:tcPr>
                <w:p w14:paraId="5657F3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300</w:t>
                  </w:r>
                </w:p>
              </w:tc>
              <w:tc>
                <w:tcPr>
                  <w:tcW w:w="1666" w:type="pct"/>
                  <w:vMerge w:val="continue"/>
                  <w:tcBorders>
                    <w:tl2br w:val="nil"/>
                    <w:tr2bl w:val="nil"/>
                  </w:tcBorders>
                  <w:noWrap w:val="0"/>
                  <w:vAlign w:val="center"/>
                </w:tcPr>
                <w:p w14:paraId="698E6E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r w14:paraId="7D459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2174DE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4</w:t>
                  </w:r>
                </w:p>
              </w:tc>
              <w:tc>
                <w:tcPr>
                  <w:tcW w:w="833" w:type="pct"/>
                  <w:tcBorders>
                    <w:tl2br w:val="nil"/>
                    <w:tr2bl w:val="nil"/>
                  </w:tcBorders>
                  <w:noWrap w:val="0"/>
                  <w:vAlign w:val="center"/>
                </w:tcPr>
                <w:p w14:paraId="167886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SS</w:t>
                  </w:r>
                </w:p>
              </w:tc>
              <w:tc>
                <w:tcPr>
                  <w:tcW w:w="1667" w:type="pct"/>
                  <w:tcBorders>
                    <w:tl2br w:val="nil"/>
                    <w:tr2bl w:val="nil"/>
                  </w:tcBorders>
                  <w:noWrap w:val="0"/>
                  <w:vAlign w:val="center"/>
                </w:tcPr>
                <w:p w14:paraId="6CCADA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400</w:t>
                  </w:r>
                </w:p>
              </w:tc>
              <w:tc>
                <w:tcPr>
                  <w:tcW w:w="1666" w:type="pct"/>
                  <w:vMerge w:val="continue"/>
                  <w:tcBorders>
                    <w:tl2br w:val="nil"/>
                    <w:tr2bl w:val="nil"/>
                  </w:tcBorders>
                  <w:noWrap w:val="0"/>
                  <w:vAlign w:val="center"/>
                </w:tcPr>
                <w:p w14:paraId="03BC55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r w14:paraId="0A26B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5B359B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5</w:t>
                  </w:r>
                </w:p>
              </w:tc>
              <w:tc>
                <w:tcPr>
                  <w:tcW w:w="833" w:type="pct"/>
                  <w:tcBorders>
                    <w:tl2br w:val="nil"/>
                    <w:tr2bl w:val="nil"/>
                  </w:tcBorders>
                  <w:noWrap w:val="0"/>
                  <w:vAlign w:val="center"/>
                </w:tcPr>
                <w:p w14:paraId="6CC90A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总氮</w:t>
                  </w:r>
                </w:p>
              </w:tc>
              <w:tc>
                <w:tcPr>
                  <w:tcW w:w="1667" w:type="pct"/>
                  <w:tcBorders>
                    <w:tl2br w:val="nil"/>
                    <w:tr2bl w:val="nil"/>
                  </w:tcBorders>
                  <w:noWrap w:val="0"/>
                  <w:vAlign w:val="center"/>
                </w:tcPr>
                <w:p w14:paraId="06256D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70</w:t>
                  </w:r>
                </w:p>
              </w:tc>
              <w:tc>
                <w:tcPr>
                  <w:tcW w:w="1666" w:type="pct"/>
                  <w:vMerge w:val="restart"/>
                  <w:tcBorders>
                    <w:tl2br w:val="nil"/>
                    <w:tr2bl w:val="nil"/>
                  </w:tcBorders>
                  <w:noWrap w:val="0"/>
                  <w:vAlign w:val="center"/>
                </w:tcPr>
                <w:p w14:paraId="5821F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t>《污水排入城镇下水道水质标准》（GB/T</w:t>
                  </w:r>
                  <w:r>
                    <w:rPr>
                      <w:rFonts w:hint="default" w:ascii="Times New Roman" w:hAnsi="Times New Roman" w:cs="Times New Roman"/>
                      <w:color w:val="000000" w:themeColor="text1"/>
                      <w:spacing w:val="0"/>
                      <w:w w:val="100"/>
                      <w:position w:val="0"/>
                      <w:sz w:val="21"/>
                      <w:szCs w:val="1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t>31962-2015）</w:t>
                  </w:r>
                </w:p>
              </w:tc>
            </w:tr>
            <w:tr w14:paraId="38ACC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38C106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6</w:t>
                  </w:r>
                </w:p>
              </w:tc>
              <w:tc>
                <w:tcPr>
                  <w:tcW w:w="833" w:type="pct"/>
                  <w:tcBorders>
                    <w:tl2br w:val="nil"/>
                    <w:tr2bl w:val="nil"/>
                  </w:tcBorders>
                  <w:noWrap w:val="0"/>
                  <w:vAlign w:val="center"/>
                </w:tcPr>
                <w:p w14:paraId="392D0A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氨氮</w:t>
                  </w:r>
                </w:p>
              </w:tc>
              <w:tc>
                <w:tcPr>
                  <w:tcW w:w="1667" w:type="pct"/>
                  <w:tcBorders>
                    <w:tl2br w:val="nil"/>
                    <w:tr2bl w:val="nil"/>
                  </w:tcBorders>
                  <w:noWrap w:val="0"/>
                  <w:vAlign w:val="center"/>
                </w:tcPr>
                <w:p w14:paraId="4443A9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45</w:t>
                  </w:r>
                </w:p>
              </w:tc>
              <w:tc>
                <w:tcPr>
                  <w:tcW w:w="1666" w:type="pct"/>
                  <w:vMerge w:val="continue"/>
                  <w:tcBorders>
                    <w:tl2br w:val="nil"/>
                    <w:tr2bl w:val="nil"/>
                  </w:tcBorders>
                  <w:noWrap w:val="0"/>
                  <w:vAlign w:val="center"/>
                </w:tcPr>
                <w:p w14:paraId="48F462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r w14:paraId="1AB48E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2C767B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18"/>
                      <w:highlight w:val="none"/>
                      <w:lang w:val="en-US" w:eastAsia="zh-CN"/>
                      <w14:textFill>
                        <w14:solidFill>
                          <w14:schemeClr w14:val="tx1"/>
                        </w14:solidFill>
                      </w14:textFill>
                    </w:rPr>
                    <w:t>7</w:t>
                  </w:r>
                </w:p>
              </w:tc>
              <w:tc>
                <w:tcPr>
                  <w:tcW w:w="833" w:type="pct"/>
                  <w:tcBorders>
                    <w:tl2br w:val="nil"/>
                    <w:tr2bl w:val="nil"/>
                  </w:tcBorders>
                  <w:noWrap w:val="0"/>
                  <w:vAlign w:val="center"/>
                </w:tcPr>
                <w:p w14:paraId="5528CE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18"/>
                      <w:highlight w:val="none"/>
                      <w:lang w:val="en-US" w:eastAsia="zh-CN"/>
                      <w14:textFill>
                        <w14:solidFill>
                          <w14:schemeClr w14:val="tx1"/>
                        </w14:solidFill>
                      </w14:textFill>
                    </w:rPr>
                    <w:t>氯化物</w:t>
                  </w:r>
                </w:p>
              </w:tc>
              <w:tc>
                <w:tcPr>
                  <w:tcW w:w="1667" w:type="pct"/>
                  <w:tcBorders>
                    <w:tl2br w:val="nil"/>
                    <w:tr2bl w:val="nil"/>
                  </w:tcBorders>
                  <w:noWrap w:val="0"/>
                  <w:vAlign w:val="center"/>
                </w:tcPr>
                <w:p w14:paraId="216E1F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18"/>
                      <w:highlight w:val="none"/>
                      <w:lang w:val="en-US" w:eastAsia="zh-CN"/>
                      <w14:textFill>
                        <w14:solidFill>
                          <w14:schemeClr w14:val="tx1"/>
                        </w14:solidFill>
                      </w14:textFill>
                    </w:rPr>
                    <w:t>800</w:t>
                  </w:r>
                </w:p>
              </w:tc>
              <w:tc>
                <w:tcPr>
                  <w:tcW w:w="1666" w:type="pct"/>
                  <w:vMerge w:val="continue"/>
                  <w:tcBorders>
                    <w:tl2br w:val="nil"/>
                    <w:tr2bl w:val="nil"/>
                  </w:tcBorders>
                  <w:noWrap w:val="0"/>
                  <w:vAlign w:val="center"/>
                </w:tcPr>
                <w:p w14:paraId="6890A8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r w14:paraId="630678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noWrap w:val="0"/>
                  <w:vAlign w:val="center"/>
                </w:tcPr>
                <w:p w14:paraId="2E4E90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18"/>
                      <w:highlight w:val="none"/>
                      <w:lang w:val="en-US" w:eastAsia="zh-CN"/>
                      <w14:textFill>
                        <w14:solidFill>
                          <w14:schemeClr w14:val="tx1"/>
                        </w14:solidFill>
                      </w14:textFill>
                    </w:rPr>
                    <w:t>8</w:t>
                  </w:r>
                </w:p>
              </w:tc>
              <w:tc>
                <w:tcPr>
                  <w:tcW w:w="833" w:type="pct"/>
                  <w:tcBorders>
                    <w:tl2br w:val="nil"/>
                    <w:tr2bl w:val="nil"/>
                  </w:tcBorders>
                  <w:noWrap w:val="0"/>
                  <w:vAlign w:val="center"/>
                </w:tcPr>
                <w:p w14:paraId="1D9FEE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总磷</w:t>
                  </w:r>
                </w:p>
              </w:tc>
              <w:tc>
                <w:tcPr>
                  <w:tcW w:w="1667" w:type="pct"/>
                  <w:tcBorders>
                    <w:tl2br w:val="nil"/>
                    <w:tr2bl w:val="nil"/>
                  </w:tcBorders>
                  <w:noWrap w:val="0"/>
                  <w:vAlign w:val="center"/>
                </w:tcPr>
                <w:p w14:paraId="50B7B5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18"/>
                      <w:highlight w:val="none"/>
                      <w:lang w:val="en-US" w:eastAsia="zh-CN"/>
                      <w14:textFill>
                        <w14:solidFill>
                          <w14:schemeClr w14:val="tx1"/>
                        </w14:solidFill>
                      </w14:textFill>
                    </w:rPr>
                    <w:t>8</w:t>
                  </w:r>
                </w:p>
              </w:tc>
              <w:tc>
                <w:tcPr>
                  <w:tcW w:w="1666" w:type="pct"/>
                  <w:vMerge w:val="continue"/>
                  <w:tcBorders>
                    <w:tl2br w:val="nil"/>
                    <w:tr2bl w:val="nil"/>
                  </w:tcBorders>
                  <w:noWrap w:val="0"/>
                  <w:vAlign w:val="center"/>
                </w:tcPr>
                <w:p w14:paraId="6C6246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18"/>
                      <w:highlight w:val="none"/>
                      <w14:textFill>
                        <w14:solidFill>
                          <w14:schemeClr w14:val="tx1"/>
                        </w14:solidFill>
                      </w14:textFill>
                    </w:rPr>
                  </w:pPr>
                </w:p>
              </w:tc>
            </w:tr>
          </w:tbl>
          <w:p w14:paraId="7F16B9F8">
            <w:pPr>
              <w:keepNext w:val="0"/>
              <w:keepLines w:val="0"/>
              <w:pageBreakBefore w:val="0"/>
              <w:widowControl/>
              <w:numPr>
                <w:ilvl w:val="0"/>
                <w:numId w:val="5"/>
              </w:numPr>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t>噪声</w:t>
            </w:r>
          </w:p>
          <w:p w14:paraId="64979F4A">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eastAsia="zh-CN"/>
                <w14:textFill>
                  <w14:solidFill>
                    <w14:schemeClr w14:val="tx1"/>
                  </w14:solidFill>
                </w14:textFill>
              </w:rPr>
              <w:t>施工期施工噪声执行《建筑施工场界环境噪声排放标准》（GB12523-2011）。</w:t>
            </w:r>
          </w:p>
          <w:p w14:paraId="03CD4AD9">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表3</w:t>
            </w:r>
            <w:r>
              <w:rPr>
                <w:rFonts w:hint="eastAsia" w:cs="Times New Roman"/>
                <w:b/>
                <w:bCs/>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噪声排放标准    单位：dB（A）</w:t>
            </w:r>
          </w:p>
          <w:tbl>
            <w:tblPr>
              <w:tblStyle w:val="35"/>
              <w:tblW w:w="783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9"/>
              <w:gridCol w:w="840"/>
              <w:gridCol w:w="881"/>
              <w:gridCol w:w="5221"/>
            </w:tblGrid>
            <w:tr w14:paraId="18F692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68" w:type="pct"/>
                  <w:vMerge w:val="restart"/>
                  <w:tcBorders>
                    <w:top w:val="single" w:color="auto" w:sz="4" w:space="0"/>
                    <w:right w:val="single" w:color="auto" w:sz="4" w:space="0"/>
                  </w:tcBorders>
                  <w:shd w:val="clear" w:color="auto" w:fill="auto"/>
                  <w:noWrap w:val="0"/>
                  <w:vAlign w:val="center"/>
                </w:tcPr>
                <w:p w14:paraId="6256D65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t>期间</w:t>
                  </w:r>
                </w:p>
              </w:tc>
              <w:tc>
                <w:tcPr>
                  <w:tcW w:w="1098"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87C2F5A">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t>噪声限值</w:t>
                  </w:r>
                </w:p>
              </w:tc>
              <w:tc>
                <w:tcPr>
                  <w:tcW w:w="3332" w:type="pct"/>
                  <w:vMerge w:val="restart"/>
                  <w:tcBorders>
                    <w:top w:val="single" w:color="auto" w:sz="4" w:space="0"/>
                    <w:left w:val="single" w:color="auto" w:sz="4" w:space="0"/>
                    <w:bottom w:val="single" w:color="auto" w:sz="4" w:space="0"/>
                  </w:tcBorders>
                  <w:shd w:val="clear" w:color="auto" w:fill="auto"/>
                  <w:noWrap w:val="0"/>
                  <w:vAlign w:val="center"/>
                </w:tcPr>
                <w:p w14:paraId="53BDBB58">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t>标准来源</w:t>
                  </w:r>
                </w:p>
              </w:tc>
            </w:tr>
            <w:tr w14:paraId="6F188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68" w:type="pct"/>
                  <w:vMerge w:val="continue"/>
                  <w:tcBorders>
                    <w:bottom w:val="single" w:color="auto" w:sz="4" w:space="0"/>
                    <w:right w:val="single" w:color="auto" w:sz="4" w:space="0"/>
                  </w:tcBorders>
                  <w:shd w:val="clear" w:color="auto" w:fill="auto"/>
                  <w:noWrap w:val="0"/>
                  <w:vAlign w:val="center"/>
                </w:tcPr>
                <w:p w14:paraId="115E2D79">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p>
              </w:tc>
              <w:tc>
                <w:tcPr>
                  <w:tcW w:w="53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C972DE">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t>昼间</w:t>
                  </w:r>
                </w:p>
              </w:tc>
              <w:tc>
                <w:tcPr>
                  <w:tcW w:w="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411EA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1"/>
                      <w:sz w:val="21"/>
                      <w:szCs w:val="21"/>
                      <w:highlight w:val="none"/>
                      <w14:textFill>
                        <w14:solidFill>
                          <w14:schemeClr w14:val="tx1"/>
                        </w14:solidFill>
                      </w14:textFill>
                    </w:rPr>
                    <w:t>夜间</w:t>
                  </w:r>
                </w:p>
              </w:tc>
              <w:tc>
                <w:tcPr>
                  <w:tcW w:w="3332" w:type="pct"/>
                  <w:vMerge w:val="continue"/>
                  <w:tcBorders>
                    <w:top w:val="single" w:color="auto" w:sz="4" w:space="0"/>
                    <w:left w:val="single" w:color="auto" w:sz="4" w:space="0"/>
                    <w:bottom w:val="single" w:color="auto" w:sz="4" w:space="0"/>
                  </w:tcBorders>
                  <w:shd w:val="clear" w:color="auto" w:fill="auto"/>
                  <w:noWrap w:val="0"/>
                  <w:vAlign w:val="center"/>
                </w:tcPr>
                <w:p w14:paraId="61985A01">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p>
              </w:tc>
            </w:tr>
            <w:tr w14:paraId="2D3C8F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68" w:type="pct"/>
                  <w:tcBorders>
                    <w:top w:val="single" w:color="auto" w:sz="4" w:space="0"/>
                    <w:bottom w:val="single" w:color="auto" w:sz="4" w:space="0"/>
                    <w:right w:val="single" w:color="auto" w:sz="4" w:space="0"/>
                  </w:tcBorders>
                  <w:shd w:val="clear" w:color="auto" w:fill="auto"/>
                  <w:noWrap w:val="0"/>
                  <w:vAlign w:val="center"/>
                </w:tcPr>
                <w:p w14:paraId="6B01E462">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施工期</w:t>
                  </w:r>
                </w:p>
              </w:tc>
              <w:tc>
                <w:tcPr>
                  <w:tcW w:w="53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CAD6B6">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70</w:t>
                  </w:r>
                </w:p>
              </w:tc>
              <w:tc>
                <w:tcPr>
                  <w:tcW w:w="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497BE7">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55</w:t>
                  </w:r>
                </w:p>
              </w:tc>
              <w:tc>
                <w:tcPr>
                  <w:tcW w:w="3332" w:type="pct"/>
                  <w:tcBorders>
                    <w:top w:val="single" w:color="auto" w:sz="4" w:space="0"/>
                    <w:left w:val="single" w:color="auto" w:sz="4" w:space="0"/>
                    <w:bottom w:val="single" w:color="auto" w:sz="4" w:space="0"/>
                  </w:tcBorders>
                  <w:shd w:val="clear" w:color="auto" w:fill="auto"/>
                  <w:noWrap w:val="0"/>
                  <w:vAlign w:val="center"/>
                </w:tcPr>
                <w:p w14:paraId="494CBFD0">
                  <w:pPr>
                    <w:keepNext w:val="0"/>
                    <w:keepLines w:val="0"/>
                    <w:pageBreakBefore w:val="0"/>
                    <w:widowControl/>
                    <w:kinsoku/>
                    <w:wordWrap/>
                    <w:overflowPunct/>
                    <w:topLinePunct w:val="0"/>
                    <w:autoSpaceDE/>
                    <w:autoSpaceDN/>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《建筑施工场界环境噪声排放标准》（GB12523-2011）</w:t>
                  </w:r>
                </w:p>
              </w:tc>
            </w:tr>
          </w:tbl>
          <w:p w14:paraId="34F59C9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snapToGrid w:val="0"/>
                <w:color w:val="000000" w:themeColor="text1"/>
                <w:spacing w:val="0"/>
                <w:kern w:val="2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pacing w:val="0"/>
                <w:kern w:val="21"/>
                <w:sz w:val="24"/>
                <w:szCs w:val="24"/>
                <w:highlight w:val="none"/>
                <w14:textFill>
                  <w14:solidFill>
                    <w14:schemeClr w14:val="tx1"/>
                  </w14:solidFill>
                </w14:textFill>
              </w:rPr>
              <w:t>运营期厂界噪</w:t>
            </w:r>
            <w:r>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t>声执行《工业企业厂界环境噪声排放标准》（GB12348-2008）</w:t>
            </w:r>
            <w:r>
              <w:rPr>
                <w:rFonts w:hint="default" w:ascii="Times New Roman" w:hAnsi="Times New Roman" w:eastAsia="宋体" w:cs="Times New Roman"/>
                <w:color w:val="000000" w:themeColor="text1"/>
                <w:spacing w:val="0"/>
                <w:kern w:val="21"/>
                <w:sz w:val="24"/>
                <w:szCs w:val="24"/>
                <w:highlight w:val="none"/>
                <w:lang w:eastAsia="zh-CN"/>
                <w14:textFill>
                  <w14:solidFill>
                    <w14:schemeClr w14:val="tx1"/>
                  </w14:solidFill>
                </w14:textFill>
              </w:rPr>
              <w:t>2类</w:t>
            </w:r>
            <w:r>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t>标准。详见</w:t>
            </w: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t>表。</w:t>
            </w:r>
          </w:p>
          <w:p w14:paraId="24907823">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pPr>
          </w:p>
          <w:p w14:paraId="003275CE">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3-</w:t>
            </w:r>
            <w:r>
              <w:rPr>
                <w:rFonts w:hint="eastAsia" w:cs="Times New Roman"/>
                <w:b/>
                <w:bCs/>
                <w:color w:val="000000" w:themeColor="text1"/>
                <w:kern w:val="0"/>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环境噪声排放标准</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06"/>
              <w:gridCol w:w="2905"/>
              <w:gridCol w:w="3720"/>
            </w:tblGrid>
            <w:tr w14:paraId="4BE99F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48" w:hRule="atLeast"/>
                <w:jc w:val="center"/>
              </w:trPr>
              <w:tc>
                <w:tcPr>
                  <w:tcW w:w="770" w:type="pct"/>
                  <w:shd w:val="clear" w:color="auto" w:fill="auto"/>
                  <w:noWrap w:val="0"/>
                  <w:vAlign w:val="center"/>
                </w:tcPr>
                <w:p w14:paraId="312CC752">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t>环境要素</w:t>
                  </w:r>
                </w:p>
              </w:tc>
              <w:tc>
                <w:tcPr>
                  <w:tcW w:w="1854" w:type="pct"/>
                  <w:shd w:val="clear" w:color="auto" w:fill="auto"/>
                  <w:noWrap w:val="0"/>
                  <w:vAlign w:val="center"/>
                </w:tcPr>
                <w:p w14:paraId="5B463641">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t>标准值</w:t>
                  </w:r>
                </w:p>
              </w:tc>
              <w:tc>
                <w:tcPr>
                  <w:tcW w:w="2374" w:type="pct"/>
                  <w:shd w:val="clear" w:color="auto" w:fill="auto"/>
                  <w:noWrap w:val="0"/>
                  <w:vAlign w:val="center"/>
                </w:tcPr>
                <w:p w14:paraId="285235B7">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sz w:val="21"/>
                      <w:szCs w:val="21"/>
                      <w:highlight w:val="none"/>
                      <w:lang w:val="en-US" w:eastAsia="zh-CN"/>
                      <w14:textFill>
                        <w14:solidFill>
                          <w14:schemeClr w14:val="tx1"/>
                        </w14:solidFill>
                      </w14:textFill>
                    </w:rPr>
                    <w:t>标准来源</w:t>
                  </w:r>
                </w:p>
              </w:tc>
            </w:tr>
            <w:tr w14:paraId="54903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85" w:hRule="atLeast"/>
                <w:jc w:val="center"/>
              </w:trPr>
              <w:tc>
                <w:tcPr>
                  <w:tcW w:w="770" w:type="pct"/>
                  <w:shd w:val="clear" w:color="auto" w:fill="auto"/>
                  <w:noWrap w:val="0"/>
                  <w:vAlign w:val="center"/>
                </w:tcPr>
                <w:p w14:paraId="282582B5">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厂界噪声</w:t>
                  </w:r>
                </w:p>
              </w:tc>
              <w:tc>
                <w:tcPr>
                  <w:tcW w:w="1854" w:type="pct"/>
                  <w:shd w:val="clear" w:color="auto" w:fill="auto"/>
                  <w:noWrap w:val="0"/>
                  <w:vAlign w:val="center"/>
                </w:tcPr>
                <w:p w14:paraId="047BDDA4">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昼间：</w:t>
                  </w:r>
                  <w:r>
                    <w:rPr>
                      <w:rFonts w:hint="default"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60</w:t>
                  </w: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dB</w:t>
                  </w: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A</w:t>
                  </w: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p w14:paraId="6D14B9E1">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夜间：</w:t>
                  </w:r>
                  <w:r>
                    <w:rPr>
                      <w:rFonts w:hint="default" w:ascii="Times New Roman" w:hAnsi="Times New Roman" w:eastAsia="宋体" w:cs="Times New Roman"/>
                      <w:snapToGrid w:val="0"/>
                      <w:color w:val="000000" w:themeColor="text1"/>
                      <w:spacing w:val="0"/>
                      <w:kern w:val="21"/>
                      <w:sz w:val="21"/>
                      <w:szCs w:val="21"/>
                      <w:highlight w:val="none"/>
                      <w:lang w:val="en-US" w:eastAsia="zh-CN"/>
                      <w14:textFill>
                        <w14:solidFill>
                          <w14:schemeClr w14:val="tx1"/>
                        </w14:solidFill>
                      </w14:textFill>
                    </w:rPr>
                    <w:t>50</w:t>
                  </w: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dB</w:t>
                  </w: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21"/>
                      <w:sz w:val="21"/>
                      <w:szCs w:val="21"/>
                      <w:highlight w:val="none"/>
                      <w14:textFill>
                        <w14:solidFill>
                          <w14:schemeClr w14:val="tx1"/>
                        </w14:solidFill>
                      </w14:textFill>
                    </w:rPr>
                    <w:t>A</w:t>
                  </w: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w:t>
                  </w:r>
                </w:p>
              </w:tc>
              <w:tc>
                <w:tcPr>
                  <w:tcW w:w="2374" w:type="pct"/>
                  <w:shd w:val="clear" w:color="auto" w:fill="auto"/>
                  <w:noWrap w:val="0"/>
                  <w:vAlign w:val="center"/>
                </w:tcPr>
                <w:p w14:paraId="117CDE32">
                  <w:pPr>
                    <w:keepNext w:val="0"/>
                    <w:keepLines w:val="0"/>
                    <w:pageBreakBefore w:val="0"/>
                    <w:widowControl w:val="0"/>
                    <w:kinsoku/>
                    <w:wordWrap/>
                    <w:overflowPunct/>
                    <w:topLinePunct w:val="0"/>
                    <w:autoSpaceDE w:val="0"/>
                    <w:autoSpaceDN w:val="0"/>
                    <w:bidi w:val="0"/>
                    <w:adjustRightInd/>
                    <w:snapToGrid/>
                    <w:spacing w:before="157" w:beforeLines="50" w:beforeAutospacing="0" w:afterLines="0" w:afterAutospacing="0" w:line="360" w:lineRule="auto"/>
                    <w:jc w:val="center"/>
                    <w:textAlignment w:val="auto"/>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1"/>
                      <w:szCs w:val="21"/>
                      <w:highlight w:val="none"/>
                      <w:lang w:eastAsia="zh-CN"/>
                      <w14:textFill>
                        <w14:solidFill>
                          <w14:schemeClr w14:val="tx1"/>
                        </w14:solidFill>
                      </w14:textFill>
                    </w:rPr>
                    <w:t>《工业企业厂界环境噪声排放标准》（GB12348-2008）2类</w:t>
                  </w:r>
                </w:p>
              </w:tc>
            </w:tr>
          </w:tbl>
          <w:p w14:paraId="38FDD434">
            <w:pPr>
              <w:keepNext w:val="0"/>
              <w:keepLines w:val="0"/>
              <w:pageBreakBefore w:val="0"/>
              <w:widowControl/>
              <w:numPr>
                <w:ilvl w:val="0"/>
                <w:numId w:val="5"/>
              </w:numPr>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14:textFill>
                  <w14:solidFill>
                    <w14:schemeClr w14:val="tx1"/>
                  </w14:solidFill>
                </w14:textFill>
              </w:rPr>
              <w:t>固废</w:t>
            </w:r>
          </w:p>
          <w:p w14:paraId="3D5F5534">
            <w:pPr>
              <w:keepNext w:val="0"/>
              <w:keepLines w:val="0"/>
              <w:pageBreakBefore w:val="0"/>
              <w:widowControl/>
              <w:numPr>
                <w:ilvl w:val="0"/>
                <w:numId w:val="0"/>
              </w:numPr>
              <w:kinsoku/>
              <w:wordWrap/>
              <w:overflowPunct/>
              <w:topLinePunct w:val="0"/>
              <w:autoSpaceDE/>
              <w:autoSpaceDN/>
              <w:bidi w:val="0"/>
              <w:adjustRightInd/>
              <w:snapToGrid/>
              <w:spacing w:beforeLines="0" w:beforeAutospacing="0" w:afterLines="0" w:afterAutospacing="0" w:line="360" w:lineRule="auto"/>
              <w:ind w:firstLine="516" w:firstLineChars="200"/>
              <w:jc w:val="both"/>
              <w:textAlignment w:val="baseline"/>
              <w:rPr>
                <w:rFonts w:hint="default" w:ascii="Times New Roman" w:hAnsi="Times New Roman" w:eastAsia="宋体" w:cs="Times New Roman"/>
                <w:b w:val="0"/>
                <w:bCs/>
                <w:color w:val="000000" w:themeColor="text1"/>
                <w:spacing w:val="9"/>
                <w:kern w:val="2"/>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9"/>
                <w:kern w:val="2"/>
                <w:sz w:val="24"/>
                <w:szCs w:val="24"/>
                <w:highlight w:val="none"/>
                <w:u w:val="none" w:color="auto"/>
                <w:lang w:val="en-US" w:eastAsia="zh-CN"/>
                <w14:textFill>
                  <w14:solidFill>
                    <w14:schemeClr w14:val="tx1"/>
                  </w14:solidFill>
                </w14:textFill>
              </w:rPr>
              <w:t>一般固体废物参照《一般工业固体废物贮存和填埋污染控制标准》（GB18599-2020）中的相关规定，一般工业固体废物暂存过程应满足相应防渗漏、防雨淋、防扬尘等环境保护要求，固体废物的处置应明确，不得形成二次污染；</w:t>
            </w:r>
          </w:p>
          <w:p w14:paraId="6249F804">
            <w:pPr>
              <w:keepNext w:val="0"/>
              <w:keepLines w:val="0"/>
              <w:pageBreakBefore w:val="0"/>
              <w:widowControl/>
              <w:numPr>
                <w:ilvl w:val="0"/>
                <w:numId w:val="0"/>
              </w:numPr>
              <w:kinsoku/>
              <w:wordWrap/>
              <w:overflowPunct/>
              <w:topLinePunct w:val="0"/>
              <w:autoSpaceDE/>
              <w:autoSpaceDN/>
              <w:bidi w:val="0"/>
              <w:adjustRightInd/>
              <w:snapToGrid/>
              <w:spacing w:beforeLines="0" w:beforeAutospacing="0" w:afterLines="0" w:afterAutospacing="0" w:line="360" w:lineRule="auto"/>
              <w:ind w:firstLine="516"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pacing w:val="9"/>
                <w:kern w:val="2"/>
                <w:sz w:val="24"/>
                <w:szCs w:val="24"/>
                <w:highlight w:val="none"/>
                <w:u w:val="none" w:color="auto"/>
                <w:lang w:val="en-US" w:eastAsia="zh-CN"/>
                <w14:textFill>
                  <w14:solidFill>
                    <w14:schemeClr w14:val="tx1"/>
                  </w14:solidFill>
                </w14:textFill>
              </w:rPr>
              <w:t>危险废物执行国家《危险废物贮存污染控制标准》（GB18597-2023）标准要求。</w:t>
            </w:r>
          </w:p>
        </w:tc>
      </w:tr>
      <w:tr w14:paraId="79DB3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noWrap w:val="0"/>
            <w:vAlign w:val="center"/>
          </w:tcPr>
          <w:p w14:paraId="72408ADF">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总量控制指标</w:t>
            </w:r>
          </w:p>
        </w:tc>
        <w:tc>
          <w:tcPr>
            <w:tcW w:w="4723" w:type="pct"/>
            <w:noWrap w:val="0"/>
            <w:vAlign w:val="center"/>
          </w:tcPr>
          <w:p w14:paraId="4C1330C1">
            <w:pPr>
              <w:spacing w:beforeLines="0" w:afterLines="0" w:line="360" w:lineRule="auto"/>
              <w:ind w:firstLine="480" w:firstLineChars="20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根据《国务院关于印发“十四五”节能减排综合工作方案的通知》（国发[2021]33 号），“十四五”期间，国家将继续实施主要污染物总量控制制度，将化学需氧量、氨氮、氮氧化物、挥发性有机物等4项污染物作为约束性指标进行考核。</w:t>
            </w:r>
          </w:p>
          <w:p w14:paraId="39D7271F">
            <w:pPr>
              <w:spacing w:beforeLines="0" w:afterLines="0"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1、废</w:t>
            </w:r>
            <w:r>
              <w:rPr>
                <w:rFonts w:hint="default" w:ascii="Times New Roman" w:hAnsi="Times New Roman" w:cs="Times New Roman"/>
                <w:b/>
                <w:bCs/>
                <w:color w:val="000000" w:themeColor="text1"/>
                <w:sz w:val="24"/>
                <w:szCs w:val="24"/>
                <w:highlight w:val="none"/>
                <w14:textFill>
                  <w14:solidFill>
                    <w14:schemeClr w14:val="tx1"/>
                  </w14:solidFill>
                </w14:textFill>
              </w:rPr>
              <w:t>水污染物总量控制指标</w:t>
            </w:r>
          </w:p>
          <w:p w14:paraId="37607DB8">
            <w:pPr>
              <w:spacing w:beforeLines="0" w:afterLines="0" w:line="360" w:lineRule="auto"/>
              <w:ind w:firstLine="480" w:firstLineChars="200"/>
              <w:jc w:val="both"/>
              <w:rPr>
                <w:rFonts w:hint="default" w:ascii="Times New Roman" w:hAnsi="Times New Roman" w:cs="Times New Roman"/>
                <w:color w:val="000000" w:themeColor="text1"/>
                <w:sz w:val="24"/>
                <w:szCs w:val="24"/>
                <w:highlight w:val="none"/>
                <w:lang w:bidi="ar"/>
                <w14:textFill>
                  <w14:solidFill>
                    <w14:schemeClr w14:val="tx1"/>
                  </w14:solidFill>
                </w14:textFill>
              </w:rPr>
            </w:pPr>
            <w:r>
              <w:rPr>
                <w:rFonts w:hint="default" w:ascii="Times New Roman" w:hAnsi="Times New Roman" w:cs="Times New Roman"/>
                <w:color w:val="000000" w:themeColor="text1"/>
                <w:sz w:val="24"/>
                <w:szCs w:val="24"/>
                <w:highlight w:val="none"/>
                <w:lang w:bidi="ar"/>
                <w14:textFill>
                  <w14:solidFill>
                    <w14:schemeClr w14:val="tx1"/>
                  </w14:solidFill>
                </w14:textFill>
              </w:rPr>
              <w:t>本项目喷雾降尘水进入产品或蒸发损耗，无废水产生；生产废水经进入项目沉淀池沉淀后循环使用，不外排；</w:t>
            </w:r>
          </w:p>
          <w:p w14:paraId="3E49DC54">
            <w:pPr>
              <w:spacing w:beforeLines="0" w:afterLines="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本项目外排废水为生活污水，排放量为298.35t/a，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污水通过市政污水管网</w:t>
            </w:r>
            <w:r>
              <w:rPr>
                <w:rFonts w:hint="eastAsia"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最终进入甘孜县县城污水处理厂处理达到《城镇污水处理厂污染物排放标准》（GB18918-2002）一级 B 标准进入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雅砻江</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p>
          <w:p w14:paraId="5A2134DC">
            <w:pPr>
              <w:pStyle w:val="18"/>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de-DE" w:eastAsia="zh-CN" w:bidi="ar-SA"/>
                <w14:textFill>
                  <w14:solidFill>
                    <w14:schemeClr w14:val="tx1"/>
                  </w14:solidFill>
                </w14:textFill>
              </w:rPr>
              <w:t>本次环评计算本项目废水污染物</w:t>
            </w:r>
            <w:r>
              <w:rPr>
                <w:rFonts w:hint="eastAsia" w:ascii="Times New Roman" w:hAnsi="Times New Roman" w:eastAsia="宋体" w:cs="Times New Roman"/>
                <w:color w:val="000000" w:themeColor="text1"/>
                <w:sz w:val="24"/>
                <w:szCs w:val="24"/>
                <w:highlight w:val="none"/>
                <w:lang w:val="de-DE" w:eastAsia="zh-CN" w:bidi="ar-SA"/>
                <w14:textFill>
                  <w14:solidFill>
                    <w14:schemeClr w14:val="tx1"/>
                  </w14:solidFill>
                </w14:textFill>
              </w:rPr>
              <w:t>总量</w:t>
            </w:r>
            <w:r>
              <w:rPr>
                <w:rFonts w:hint="default" w:ascii="Times New Roman" w:hAnsi="Times New Roman" w:eastAsia="宋体" w:cs="Times New Roman"/>
                <w:color w:val="000000" w:themeColor="text1"/>
                <w:sz w:val="24"/>
                <w:szCs w:val="24"/>
                <w:highlight w:val="none"/>
                <w:lang w:val="de-DE" w:eastAsia="zh-CN" w:bidi="ar-SA"/>
                <w14:textFill>
                  <w14:solidFill>
                    <w14:schemeClr w14:val="tx1"/>
                  </w14:solidFill>
                </w14:textFill>
              </w:rPr>
              <w:t>计算如下：</w:t>
            </w:r>
          </w:p>
          <w:p w14:paraId="371AAFC2">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①</w:t>
            </w:r>
            <w:r>
              <w:rPr>
                <w:rFonts w:hint="eastAsia" w:ascii="Times New Roman" w:hAnsi="Times New Roman" w:cs="Times New Roman"/>
                <w:color w:val="000000" w:themeColor="text1"/>
                <w:sz w:val="24"/>
                <w:szCs w:val="24"/>
                <w:highlight w:val="none"/>
                <w:lang w:val="en-US" w:eastAsia="zh-CN" w:bidi="ar"/>
                <w14:textFill>
                  <w14:solidFill>
                    <w14:schemeClr w14:val="tx1"/>
                  </w14:solidFill>
                </w14:textFill>
              </w:rPr>
              <w:t>厂区废水</w:t>
            </w:r>
            <w:r>
              <w:rPr>
                <w:rFonts w:hint="default" w:ascii="Times New Roman" w:hAnsi="Times New Roman" w:cs="Times New Roman"/>
                <w:color w:val="000000" w:themeColor="text1"/>
                <w:sz w:val="24"/>
                <w:szCs w:val="24"/>
                <w:highlight w:val="none"/>
                <w:lang w:bidi="ar"/>
                <w14:textFill>
                  <w14:solidFill>
                    <w14:schemeClr w14:val="tx1"/>
                  </w14:solidFill>
                </w14:textFill>
              </w:rPr>
              <w:t>排口</w:t>
            </w:r>
          </w:p>
          <w:p w14:paraId="4F920480">
            <w:pPr>
              <w:keepNext w:val="0"/>
              <w:keepLines w:val="0"/>
              <w:pageBreakBefore w:val="0"/>
              <w:widowControl/>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CODcr=</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298.35</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m³/a×500mg/L×10</w:t>
            </w:r>
            <w:r>
              <w:rPr>
                <w:rFonts w:hint="default" w:ascii="Times New Roman" w:hAnsi="Times New Roman" w:eastAsia="宋体" w:cs="Times New Roman"/>
                <w:color w:val="000000" w:themeColor="text1"/>
                <w:kern w:val="2"/>
                <w:sz w:val="24"/>
                <w:szCs w:val="24"/>
                <w:highlight w:val="none"/>
                <w:vertAlign w:val="superscript"/>
                <w:lang w:val="de-DE"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0.1492</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t/a；</w:t>
            </w:r>
          </w:p>
          <w:p w14:paraId="1F656058">
            <w:pPr>
              <w:keepNext w:val="0"/>
              <w:keepLines w:val="0"/>
              <w:pageBreakBefore w:val="0"/>
              <w:widowControl/>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NH</w:t>
            </w:r>
            <w:r>
              <w:rPr>
                <w:rFonts w:hint="default" w:ascii="Times New Roman" w:hAnsi="Times New Roman" w:eastAsia="宋体" w:cs="Times New Roman"/>
                <w:color w:val="000000" w:themeColor="text1"/>
                <w:kern w:val="2"/>
                <w:sz w:val="24"/>
                <w:szCs w:val="24"/>
                <w:highlight w:val="none"/>
                <w:vertAlign w:val="subscript"/>
                <w:lang w:val="de-DE"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298.35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³/a×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45</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mg/L×10</w:t>
            </w:r>
            <w:r>
              <w:rPr>
                <w:rFonts w:hint="default" w:ascii="Times New Roman" w:hAnsi="Times New Roman" w:eastAsia="宋体" w:cs="Times New Roman"/>
                <w:color w:val="000000" w:themeColor="text1"/>
                <w:kern w:val="2"/>
                <w:sz w:val="24"/>
                <w:szCs w:val="24"/>
                <w:highlight w:val="none"/>
                <w:vertAlign w:val="superscript"/>
                <w:lang w:val="de-DE"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0.0134t</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p>
          <w:p w14:paraId="41324DAD">
            <w:pPr>
              <w:keepNext w:val="0"/>
              <w:keepLines w:val="0"/>
              <w:pageBreakBefore w:val="0"/>
              <w:widowControl/>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de-DE" w:eastAsia="zh-CN" w:bidi="ar-SA"/>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de-DE" w:eastAsia="zh-CN" w:bidi="ar-SA"/>
                <w14:textFill>
                  <w14:solidFill>
                    <w14:schemeClr w14:val="tx1"/>
                  </w14:solidFill>
                </w14:textFill>
              </w:rPr>
              <w:t>甘孜县县城污水处理厂</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排口</w:t>
            </w:r>
          </w:p>
          <w:p w14:paraId="098D9174">
            <w:pPr>
              <w:keepNext w:val="0"/>
              <w:keepLines w:val="0"/>
              <w:pageBreakBefore w:val="0"/>
              <w:widowControl/>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CODcr=</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298.35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³/a×</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mg/L×10</w:t>
            </w:r>
            <w:r>
              <w:rPr>
                <w:rFonts w:hint="default" w:ascii="Times New Roman" w:hAnsi="Times New Roman" w:eastAsia="宋体" w:cs="Times New Roman"/>
                <w:color w:val="000000" w:themeColor="text1"/>
                <w:kern w:val="2"/>
                <w:sz w:val="24"/>
                <w:szCs w:val="24"/>
                <w:highlight w:val="none"/>
                <w:vertAlign w:val="superscript"/>
                <w:lang w:val="de-DE"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0.0090</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t/a；</w:t>
            </w:r>
          </w:p>
          <w:p w14:paraId="1F72C612">
            <w:pPr>
              <w:keepNext w:val="0"/>
              <w:keepLines w:val="0"/>
              <w:pageBreakBefore w:val="0"/>
              <w:widowControl/>
              <w:kinsoku/>
              <w:wordWrap/>
              <w:overflowPunct/>
              <w:topLinePunct w:val="0"/>
              <w:autoSpaceDE/>
              <w:autoSpaceDN/>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NH</w:t>
            </w:r>
            <w:r>
              <w:rPr>
                <w:rFonts w:hint="default" w:ascii="Times New Roman" w:hAnsi="Times New Roman" w:eastAsia="宋体" w:cs="Times New Roman"/>
                <w:color w:val="000000" w:themeColor="text1"/>
                <w:kern w:val="2"/>
                <w:sz w:val="24"/>
                <w:szCs w:val="24"/>
                <w:highlight w:val="none"/>
                <w:vertAlign w:val="subscript"/>
                <w:lang w:val="de-DE"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298.35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³/a×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mg/L×10</w:t>
            </w:r>
            <w:r>
              <w:rPr>
                <w:rFonts w:hint="default" w:ascii="Times New Roman" w:hAnsi="Times New Roman" w:eastAsia="宋体" w:cs="Times New Roman"/>
                <w:color w:val="000000" w:themeColor="text1"/>
                <w:kern w:val="2"/>
                <w:sz w:val="24"/>
                <w:szCs w:val="24"/>
                <w:highlight w:val="none"/>
                <w:vertAlign w:val="superscript"/>
                <w:lang w:val="de-DE"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0.0004</w:t>
            </w:r>
            <w:r>
              <w:rPr>
                <w:rFonts w:hint="default"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t/a</w:t>
            </w:r>
            <w:r>
              <w:rPr>
                <w:rFonts w:hint="eastAsia" w:ascii="Times New Roman" w:hAnsi="Times New Roman" w:eastAsia="宋体" w:cs="Times New Roman"/>
                <w:color w:val="000000" w:themeColor="text1"/>
                <w:kern w:val="2"/>
                <w:sz w:val="24"/>
                <w:szCs w:val="24"/>
                <w:highlight w:val="none"/>
                <w:lang w:val="de-DE" w:eastAsia="zh-CN" w:bidi="ar-SA"/>
                <w14:textFill>
                  <w14:solidFill>
                    <w14:schemeClr w14:val="tx1"/>
                  </w14:solidFill>
                </w14:textFill>
              </w:rPr>
              <w:t>。</w:t>
            </w:r>
          </w:p>
          <w:p w14:paraId="5012E2E8">
            <w:pPr>
              <w:keepNext w:val="0"/>
              <w:keepLines w:val="0"/>
              <w:pageBreakBefore w:val="0"/>
              <w:widowControl/>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废气污染物总量控制指标</w:t>
            </w:r>
          </w:p>
          <w:p w14:paraId="7E5B2C4E">
            <w:pPr>
              <w:keepNext w:val="0"/>
              <w:keepLines w:val="0"/>
              <w:pageBreakBefore w:val="0"/>
              <w:kinsoku/>
              <w:wordWrap/>
              <w:overflowPunct/>
              <w:bidi w:val="0"/>
              <w:adjustRightInd/>
              <w:snapToGrid/>
              <w:spacing w:beforeLines="0" w:beforeAutospacing="0" w:afterLines="0" w:afterAutospacing="0" w:line="360" w:lineRule="auto"/>
              <w:ind w:firstLine="480" w:firstLineChars="200"/>
              <w:jc w:val="both"/>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本项目不涉及氮氧化物和挥发性有机物产生，不涉及废气总量。</w:t>
            </w:r>
          </w:p>
        </w:tc>
      </w:tr>
    </w:tbl>
    <w:p w14:paraId="153B26EC">
      <w:pPr>
        <w:pStyle w:val="30"/>
        <w:keepNext w:val="0"/>
        <w:keepLines w:val="0"/>
        <w:pageBreakBefore w:val="0"/>
        <w:kinsoku/>
        <w:wordWrap/>
        <w:overflowPunct/>
        <w:bidi w:val="0"/>
        <w:adjustRightInd/>
        <w:snapToGrid/>
        <w:spacing w:before="0" w:beforeLines="0" w:beforeAutospacing="0" w:after="0" w:afterLines="0" w:afterAutospacing="0"/>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br w:type="page"/>
      </w:r>
      <w:bookmarkStart w:id="8" w:name="_Toc15488"/>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四、主要环境影响和保护措施</w:t>
      </w:r>
      <w:bookmarkEnd w:id="8"/>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
        <w:gridCol w:w="8155"/>
      </w:tblGrid>
      <w:tr w14:paraId="3B2A4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203" w:type="pct"/>
            <w:noWrap w:val="0"/>
            <w:tcMar>
              <w:left w:w="28" w:type="dxa"/>
              <w:right w:w="28" w:type="dxa"/>
            </w:tcMar>
            <w:vAlign w:val="center"/>
          </w:tcPr>
          <w:p w14:paraId="3D03B5CD">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施工</w:t>
            </w:r>
          </w:p>
          <w:p w14:paraId="3AB78D1A">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期环</w:t>
            </w:r>
          </w:p>
          <w:p w14:paraId="4AAEECB5">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境保</w:t>
            </w:r>
          </w:p>
          <w:p w14:paraId="4DA276F2">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护措</w:t>
            </w:r>
          </w:p>
          <w:p w14:paraId="2EEFC2ED">
            <w:pPr>
              <w:pStyle w:val="30"/>
              <w:keepNext w:val="0"/>
              <w:keepLines w:val="0"/>
              <w:pageBreakBefore w:val="0"/>
              <w:kinsoku/>
              <w:wordWrap/>
              <w:overflowPunct/>
              <w:bidi w:val="0"/>
              <w:adjustRightInd/>
              <w:snapToGrid/>
              <w:spacing w:before="0" w:beforeLines="0" w:beforeAutospacing="0" w:after="0" w:afterLines="0" w:afterAutospacing="0"/>
              <w:jc w:val="cente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w:t>
            </w:r>
          </w:p>
        </w:tc>
        <w:tc>
          <w:tcPr>
            <w:tcW w:w="4796" w:type="pct"/>
            <w:noWrap w:val="0"/>
            <w:vAlign w:val="center"/>
          </w:tcPr>
          <w:p w14:paraId="1D91BB9E">
            <w:pPr>
              <w:pStyle w:val="17"/>
              <w:spacing w:beforeLines="0" w:after="0" w:afterLines="0" w:line="360" w:lineRule="auto"/>
              <w:ind w:left="0" w:leftChars="0"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租用已有厂房建设</w:t>
            </w:r>
            <w:r>
              <w:rPr>
                <w:rFonts w:hint="default" w:ascii="Times New Roman" w:hAnsi="Times New Roman" w:cs="Times New Roman"/>
                <w:color w:val="000000" w:themeColor="text1"/>
                <w:sz w:val="24"/>
                <w:szCs w:val="24"/>
                <w:highlight w:val="none"/>
                <w14:textFill>
                  <w14:solidFill>
                    <w14:schemeClr w14:val="tx1"/>
                  </w14:solidFill>
                </w14:textFill>
              </w:rPr>
              <w:t>，主要工程内容为设备安装，主要污染源为施工期间的噪声</w:t>
            </w:r>
            <w:r>
              <w:rPr>
                <w:rFonts w:hint="default" w:ascii="Times New Roman" w:hAnsi="Times New Roman" w:cs="Times New Roman"/>
                <w:color w:val="000000" w:themeColor="text1"/>
                <w:sz w:val="24"/>
                <w:szCs w:val="24"/>
                <w:highlight w:val="none"/>
                <w:lang w:eastAsia="zh-CN"/>
                <w14:textFill>
                  <w14:solidFill>
                    <w14:schemeClr w14:val="tx1"/>
                  </w14:solidFill>
                </w14:textFill>
              </w:rPr>
              <w:t>、设备焊接产生的废气</w:t>
            </w:r>
            <w:r>
              <w:rPr>
                <w:rFonts w:hint="default" w:ascii="Times New Roman" w:hAnsi="Times New Roman" w:cs="Times New Roman"/>
                <w:color w:val="000000" w:themeColor="text1"/>
                <w:sz w:val="24"/>
                <w:szCs w:val="24"/>
                <w:highlight w:val="none"/>
                <w14:textFill>
                  <w14:solidFill>
                    <w14:schemeClr w14:val="tx1"/>
                  </w14:solidFill>
                </w14:textFill>
              </w:rPr>
              <w:t>、建筑垃圾、生活垃圾及生活污水等。</w:t>
            </w:r>
          </w:p>
          <w:p w14:paraId="3E81B030">
            <w:pPr>
              <w:adjustRightInd w:val="0"/>
              <w:snapToGrid w:val="0"/>
              <w:spacing w:beforeLines="0" w:afterLines="0" w:line="360" w:lineRule="auto"/>
              <w:ind w:firstLine="442" w:firstLineChars="200"/>
              <w:rPr>
                <w:rFonts w:ascii="Times New Roman" w:hAnsi="Times New Roman" w:cs="Times New Roman"/>
                <w:b/>
                <w:color w:val="000000" w:themeColor="text1"/>
                <w:spacing w:val="-10"/>
                <w:sz w:val="24"/>
                <w:szCs w:val="24"/>
                <w:highlight w:val="none"/>
                <w14:textFill>
                  <w14:solidFill>
                    <w14:schemeClr w14:val="tx1"/>
                  </w14:solidFill>
                </w14:textFill>
              </w:rPr>
            </w:pPr>
            <w:r>
              <w:rPr>
                <w:rFonts w:hint="default" w:ascii="Times New Roman" w:hAnsi="Times New Roman" w:cs="Times New Roman"/>
                <w:b/>
                <w:color w:val="000000" w:themeColor="text1"/>
                <w:spacing w:val="-10"/>
                <w:sz w:val="24"/>
                <w:szCs w:val="24"/>
                <w:highlight w:val="none"/>
                <w14:textFill>
                  <w14:solidFill>
                    <w14:schemeClr w14:val="tx1"/>
                  </w14:solidFill>
                </w14:textFill>
              </w:rPr>
              <w:t>一、施工期污染物排放及治理</w:t>
            </w:r>
          </w:p>
          <w:p w14:paraId="2BCD8093">
            <w:pPr>
              <w:adjustRightInd w:val="0"/>
              <w:snapToGrid w:val="0"/>
              <w:spacing w:beforeLines="0" w:afterLines="0" w:line="360" w:lineRule="auto"/>
              <w:ind w:firstLine="442"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pacing w:val="-10"/>
                <w:sz w:val="24"/>
                <w:szCs w:val="24"/>
                <w:highlight w:val="none"/>
                <w14:textFill>
                  <w14:solidFill>
                    <w14:schemeClr w14:val="tx1"/>
                  </w14:solidFill>
                </w14:textFill>
              </w:rPr>
              <w:t>（二）施工期废气的排放及治理</w:t>
            </w:r>
          </w:p>
          <w:p w14:paraId="01DBA428">
            <w:pPr>
              <w:pStyle w:val="81"/>
              <w:spacing w:beforeLines="0" w:afterLines="0" w:line="360" w:lineRule="auto"/>
              <w:ind w:firstLine="442"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b/>
                <w:color w:val="000000" w:themeColor="text1"/>
                <w:spacing w:val="-10"/>
                <w:sz w:val="24"/>
                <w:szCs w:val="24"/>
                <w:highlight w:val="none"/>
                <w14:textFill>
                  <w14:solidFill>
                    <w14:schemeClr w14:val="tx1"/>
                  </w14:solidFill>
                </w14:textFill>
              </w:rPr>
              <w:t>产生情况：</w:t>
            </w:r>
            <w:r>
              <w:rPr>
                <w:rFonts w:ascii="Times New Roman" w:hAnsi="Times New Roman" w:cs="Times New Roman"/>
                <w:color w:val="000000" w:themeColor="text1"/>
                <w:sz w:val="24"/>
                <w:szCs w:val="24"/>
                <w:highlight w:val="none"/>
                <w14:textFill>
                  <w14:solidFill>
                    <w14:schemeClr w14:val="tx1"/>
                  </w14:solidFill>
                </w14:textFill>
              </w:rPr>
              <w:t>项目施工过程中采取手工电弧焊对生产设备进行焊接，会产生焊接烟尘。本项目施工作业场地开阔，经空气稀释、自然扩散后对周围环境影响很小。查阅相关资料可知，焊烟主要废气包括焊接烟尘和有害气体。主要有害气体为CO及NO</w:t>
            </w:r>
            <w:r>
              <w:rPr>
                <w:rFonts w:ascii="Times New Roman" w:hAnsi="Times New Roman" w:cs="Times New Roman"/>
                <w:color w:val="000000" w:themeColor="text1"/>
                <w:sz w:val="24"/>
                <w:szCs w:val="24"/>
                <w:highlight w:val="none"/>
                <w:vertAlign w:val="subscript"/>
                <w14:textFill>
                  <w14:solidFill>
                    <w14:schemeClr w14:val="tx1"/>
                  </w14:solidFill>
                </w14:textFill>
              </w:rPr>
              <w:t>X</w:t>
            </w:r>
            <w:r>
              <w:rPr>
                <w:rFonts w:ascii="Times New Roman" w:hAnsi="Times New Roman" w:cs="Times New Roman"/>
                <w:color w:val="000000" w:themeColor="text1"/>
                <w:sz w:val="24"/>
                <w:szCs w:val="24"/>
                <w:highlight w:val="none"/>
                <w14:textFill>
                  <w14:solidFill>
                    <w14:schemeClr w14:val="tx1"/>
                  </w14:solidFill>
                </w14:textFill>
              </w:rPr>
              <w:t>，有害气体产生量较小、成分复杂，较难定量；焊接烟尘中主要有害物质为Fe</w:t>
            </w:r>
            <w:r>
              <w:rPr>
                <w:rFonts w:ascii="Times New Roman" w:hAnsi="Times New Roman" w:cs="Times New Roman"/>
                <w:color w:val="000000" w:themeColor="text1"/>
                <w:sz w:val="24"/>
                <w:szCs w:val="24"/>
                <w:highlight w:val="none"/>
                <w:vertAlign w:val="subscript"/>
                <w14:textFill>
                  <w14:solidFill>
                    <w14:schemeClr w14:val="tx1"/>
                  </w14:solidFill>
                </w14:textFill>
              </w:rPr>
              <w:t>2</w:t>
            </w:r>
            <w:r>
              <w:rPr>
                <w:rFonts w:ascii="Times New Roman" w:hAnsi="Times New Roman" w:cs="Times New Roman"/>
                <w:color w:val="000000" w:themeColor="text1"/>
                <w:sz w:val="24"/>
                <w:szCs w:val="24"/>
                <w:highlight w:val="none"/>
                <w14:textFill>
                  <w14:solidFill>
                    <w14:schemeClr w14:val="tx1"/>
                  </w14:solidFill>
                </w14:textFill>
              </w:rPr>
              <w:t>O</w:t>
            </w:r>
            <w:r>
              <w:rPr>
                <w:rFonts w:ascii="Times New Roman" w:hAnsi="Times New Roman" w:cs="Times New Roman"/>
                <w:color w:val="000000" w:themeColor="text1"/>
                <w:sz w:val="24"/>
                <w:szCs w:val="24"/>
                <w:highlight w:val="none"/>
                <w:vertAlign w:val="subscript"/>
                <w14:textFill>
                  <w14:solidFill>
                    <w14:schemeClr w14:val="tx1"/>
                  </w14:solidFill>
                </w14:textFill>
              </w:rPr>
              <w:t>3</w:t>
            </w:r>
            <w:r>
              <w:rPr>
                <w:rFonts w:ascii="Times New Roman" w:hAnsi="Times New Roman" w:cs="Times New Roman"/>
                <w:color w:val="000000" w:themeColor="text1"/>
                <w:sz w:val="24"/>
                <w:szCs w:val="24"/>
                <w:highlight w:val="none"/>
                <w14:textFill>
                  <w14:solidFill>
                    <w14:schemeClr w14:val="tx1"/>
                  </w14:solidFill>
                </w14:textFill>
              </w:rPr>
              <w:t>、SiO</w:t>
            </w:r>
            <w:r>
              <w:rPr>
                <w:rFonts w:ascii="Times New Roman" w:hAnsi="Times New Roman" w:cs="Times New Roman"/>
                <w:color w:val="000000" w:themeColor="text1"/>
                <w:sz w:val="24"/>
                <w:szCs w:val="24"/>
                <w:highlight w:val="none"/>
                <w:vertAlign w:val="subscript"/>
                <w14:textFill>
                  <w14:solidFill>
                    <w14:schemeClr w14:val="tx1"/>
                  </w14:solidFill>
                </w14:textFill>
              </w:rPr>
              <w:t>2</w:t>
            </w:r>
            <w:r>
              <w:rPr>
                <w:rFonts w:ascii="Times New Roman" w:hAnsi="Times New Roman" w:cs="Times New Roman"/>
                <w:color w:val="000000" w:themeColor="text1"/>
                <w:sz w:val="24"/>
                <w:szCs w:val="24"/>
                <w:highlight w:val="none"/>
                <w14:textFill>
                  <w14:solidFill>
                    <w14:schemeClr w14:val="tx1"/>
                  </w14:solidFill>
                </w14:textFill>
              </w:rPr>
              <w:t>、MnO等。</w:t>
            </w:r>
          </w:p>
          <w:p w14:paraId="1F5E37F0">
            <w:pPr>
              <w:pStyle w:val="81"/>
              <w:spacing w:beforeLines="0" w:afterLines="0" w:line="360" w:lineRule="auto"/>
              <w:ind w:firstLine="482"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拟采取措施</w:t>
            </w:r>
            <w:r>
              <w:rPr>
                <w:rFonts w:ascii="Times New Roman" w:hAnsi="Times New Roman" w:cs="Times New Roman"/>
                <w:b/>
                <w:bCs/>
                <w:color w:val="000000" w:themeColor="text1"/>
                <w:sz w:val="24"/>
                <w:szCs w:val="24"/>
                <w:highlight w:val="none"/>
                <w14:textFill>
                  <w14:solidFill>
                    <w14:schemeClr w14:val="tx1"/>
                  </w14:solidFill>
                </w14:textFill>
              </w:rPr>
              <w:t>：</w:t>
            </w:r>
          </w:p>
          <w:p w14:paraId="70AD9F3F">
            <w:pPr>
              <w:pStyle w:val="81"/>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①参加施焊的焊工按TS/G Z6002-2010《特种设备焊接操作人员考核细则》规定进行培训考核，并持有国家质量技术监督检验检疫总局颁发的、在有效期范围内、与其焊接项目相适应的《特种设备作业人员证》资格证书，在施工过程中已严格按已批准的焊接工艺规程执行；</w:t>
            </w:r>
          </w:p>
          <w:p w14:paraId="3990B8F8">
            <w:pPr>
              <w:pStyle w:val="81"/>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②施工作业时加强通风，焊接烟尘经空气稀释、自然扩散，对环境影响不大。</w:t>
            </w:r>
          </w:p>
          <w:p w14:paraId="662834B4">
            <w:pPr>
              <w:adjustRightInd w:val="0"/>
              <w:snapToGrid w:val="0"/>
              <w:spacing w:beforeLines="0" w:afterLines="0" w:line="360" w:lineRule="auto"/>
              <w:ind w:firstLine="442"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pacing w:val="-10"/>
                <w:sz w:val="24"/>
                <w:szCs w:val="24"/>
                <w:highlight w:val="none"/>
                <w14:textFill>
                  <w14:solidFill>
                    <w14:schemeClr w14:val="tx1"/>
                  </w14:solidFill>
                </w14:textFill>
              </w:rPr>
              <w:t>（二）施工期废水的排放及治理</w:t>
            </w:r>
          </w:p>
          <w:p w14:paraId="2F7A305B">
            <w:pPr>
              <w:adjustRightInd w:val="0"/>
              <w:snapToGrid w:val="0"/>
              <w:spacing w:beforeLines="0" w:afterLines="0" w:line="360" w:lineRule="auto"/>
              <w:ind w:firstLine="482"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产生情况：</w:t>
            </w:r>
            <w:r>
              <w:rPr>
                <w:rFonts w:hint="default" w:ascii="Times New Roman" w:hAnsi="Times New Roman" w:cs="Times New Roman"/>
                <w:color w:val="000000" w:themeColor="text1"/>
                <w:sz w:val="24"/>
                <w:szCs w:val="24"/>
                <w:highlight w:val="none"/>
                <w14:textFill>
                  <w14:solidFill>
                    <w14:schemeClr w14:val="tx1"/>
                  </w14:solidFill>
                </w14:textFill>
              </w:rPr>
              <w:t>施工期主要废水为施工人员的生活污水，根据施工情况，施工期最大施工人员人数为10人，工期为30天，按照40L/人·d计算（依据《建筑给水排水设计标准》（GB50015-201</w:t>
            </w:r>
            <w:r>
              <w:rPr>
                <w:rFonts w:ascii="Times New Roman" w:hAnsi="Times New Roman" w:cs="Times New Roman"/>
                <w:color w:val="000000" w:themeColor="text1"/>
                <w:sz w:val="24"/>
                <w:szCs w:val="24"/>
                <w:highlight w:val="none"/>
                <w14:textFill>
                  <w14:solidFill>
                    <w14:schemeClr w14:val="tx1"/>
                  </w14:solidFill>
                </w14:textFill>
              </w:rPr>
              <w:t>9</w:t>
            </w:r>
            <w:r>
              <w:rPr>
                <w:rFonts w:hint="default" w:ascii="Times New Roman" w:hAnsi="Times New Roman" w:cs="Times New Roman"/>
                <w:color w:val="000000" w:themeColor="text1"/>
                <w:sz w:val="24"/>
                <w:szCs w:val="24"/>
                <w:highlight w:val="none"/>
                <w14:textFill>
                  <w14:solidFill>
                    <w14:schemeClr w14:val="tx1"/>
                  </w14:solidFill>
                </w14:textFill>
              </w:rPr>
              <w:t>）），将生活用水确定为1.2</w:t>
            </w:r>
            <w:r>
              <w:rPr>
                <w:rFonts w:ascii="Times New Roman" w:hAnsi="Times New Roman" w:cs="Times New Roman"/>
                <w:color w:val="000000" w:themeColor="text1"/>
                <w:sz w:val="24"/>
                <w:szCs w:val="24"/>
                <w:highlight w:val="none"/>
                <w14:textFill>
                  <w14:solidFill>
                    <w14:schemeClr w14:val="tx1"/>
                  </w14:solidFill>
                </w14:textFill>
              </w:rPr>
              <w:t>m</w:t>
            </w:r>
            <w:r>
              <w:rPr>
                <w:rFonts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/d，排放系数取0.85，则生活污水产生量共约1.02</w:t>
            </w:r>
            <w:r>
              <w:rPr>
                <w:rFonts w:ascii="Times New Roman" w:hAnsi="Times New Roman" w:cs="Times New Roman"/>
                <w:color w:val="000000" w:themeColor="text1"/>
                <w:sz w:val="24"/>
                <w:szCs w:val="24"/>
                <w:highlight w:val="none"/>
                <w14:textFill>
                  <w14:solidFill>
                    <w14:schemeClr w14:val="tx1"/>
                  </w14:solidFill>
                </w14:textFill>
              </w:rPr>
              <w:t>m</w:t>
            </w:r>
            <w:r>
              <w:rPr>
                <w:rFonts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。生活污水水质中COD约为350mg/L，SS约为250mg/L，氨氮约为30mg/L，TP浓度约5mg/L。</w:t>
            </w:r>
          </w:p>
          <w:p w14:paraId="7D556C22">
            <w:pPr>
              <w:adjustRightInd w:val="0"/>
              <w:snapToGrid w:val="0"/>
              <w:spacing w:beforeLines="0" w:afterLines="0" w:line="360" w:lineRule="auto"/>
              <w:ind w:firstLine="482"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拟采取措施</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本项目施工期产生的生活污水经厂区</w:t>
            </w:r>
            <w:r>
              <w:rPr>
                <w:rFonts w:hint="eastAsia" w:cs="Times New Roman"/>
                <w:color w:val="000000" w:themeColor="text1"/>
                <w:sz w:val="24"/>
                <w:szCs w:val="24"/>
                <w:highlight w:val="none"/>
                <w:lang w:val="en-US" w:eastAsia="zh-CN"/>
                <w14:textFill>
                  <w14:solidFill>
                    <w14:schemeClr w14:val="tx1"/>
                  </w14:solidFill>
                </w14:textFill>
              </w:rPr>
              <w:t>预处理池</w:t>
            </w:r>
            <w:r>
              <w:rPr>
                <w:rFonts w:ascii="Times New Roman" w:hAnsi="Times New Roman" w:cs="Times New Roman"/>
                <w:color w:val="000000" w:themeColor="text1"/>
                <w:sz w:val="24"/>
                <w:szCs w:val="24"/>
                <w:highlight w:val="none"/>
                <w14:textFill>
                  <w14:solidFill>
                    <w14:schemeClr w14:val="tx1"/>
                  </w14:solidFill>
                </w14:textFill>
              </w:rPr>
              <w:t>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w:t>
            </w:r>
            <w:r>
              <w:rPr>
                <w:rFonts w:hint="eastAsia" w:cs="Times New Roman"/>
                <w:color w:val="000000" w:themeColor="text1"/>
                <w:sz w:val="24"/>
                <w:szCs w:val="24"/>
                <w:highlight w:val="none"/>
                <w:lang w:val="en-US" w:eastAsia="zh-CN"/>
                <w14:textFill>
                  <w14:solidFill>
                    <w14:schemeClr w14:val="tx1"/>
                  </w14:solidFill>
                </w14:textFill>
              </w:rPr>
              <w:t>进入市政污水管网</w:t>
            </w:r>
            <w:r>
              <w:rPr>
                <w:rFonts w:hint="default" w:ascii="Times New Roman" w:hAnsi="Times New Roman" w:cs="Times New Roman"/>
                <w:color w:val="000000" w:themeColor="text1"/>
                <w:sz w:val="24"/>
                <w:szCs w:val="24"/>
                <w:highlight w:val="none"/>
                <w14:textFill>
                  <w14:solidFill>
                    <w14:schemeClr w14:val="tx1"/>
                  </w14:solidFill>
                </w14:textFill>
              </w:rPr>
              <w:t>。</w:t>
            </w:r>
          </w:p>
          <w:p w14:paraId="44E30891">
            <w:pPr>
              <w:adjustRightInd w:val="0"/>
              <w:snapToGrid w:val="0"/>
              <w:spacing w:beforeLines="0" w:afterLines="0" w:line="360" w:lineRule="auto"/>
              <w:ind w:firstLine="442" w:firstLineChars="200"/>
              <w:rPr>
                <w:rFonts w:ascii="Times New Roman" w:hAnsi="Times New Roman" w:cs="Times New Roman"/>
                <w:b/>
                <w:color w:val="000000" w:themeColor="text1"/>
                <w:spacing w:val="-10"/>
                <w:sz w:val="24"/>
                <w:szCs w:val="24"/>
                <w:highlight w:val="none"/>
                <w14:textFill>
                  <w14:solidFill>
                    <w14:schemeClr w14:val="tx1"/>
                  </w14:solidFill>
                </w14:textFill>
              </w:rPr>
            </w:pPr>
            <w:r>
              <w:rPr>
                <w:rFonts w:hint="default" w:ascii="Times New Roman" w:hAnsi="Times New Roman" w:cs="Times New Roman"/>
                <w:b/>
                <w:color w:val="000000" w:themeColor="text1"/>
                <w:spacing w:val="-10"/>
                <w:sz w:val="24"/>
                <w:szCs w:val="24"/>
                <w:highlight w:val="none"/>
                <w14:textFill>
                  <w14:solidFill>
                    <w14:schemeClr w14:val="tx1"/>
                  </w14:solidFill>
                </w14:textFill>
              </w:rPr>
              <w:t>（三）施工期声环境影响分析和保护措施</w:t>
            </w:r>
          </w:p>
          <w:p w14:paraId="175AED38">
            <w:pPr>
              <w:pStyle w:val="81"/>
              <w:spacing w:beforeLines="0" w:afterLines="0" w:line="360" w:lineRule="auto"/>
              <w:ind w:firstLine="482" w:firstLineChars="200"/>
              <w:rPr>
                <w:rFonts w:ascii="Times New Roman" w:hAnsi="Times New Roman" w:cs="Times New Roman"/>
                <w:color w:val="000000" w:themeColor="text1"/>
                <w:sz w:val="24"/>
                <w:szCs w:val="24"/>
                <w:highlight w:val="none"/>
                <w14:textFill>
                  <w14:solidFill>
                    <w14:schemeClr w14:val="tx1"/>
                  </w14:solidFill>
                </w14:textFill>
              </w:rPr>
            </w:pPr>
            <w:bookmarkStart w:id="9" w:name="_Toc29858"/>
            <w:bookmarkStart w:id="10" w:name="_Toc11507"/>
            <w:bookmarkStart w:id="11" w:name="_Toc2192"/>
            <w:bookmarkStart w:id="12" w:name="_Toc32576"/>
            <w:r>
              <w:rPr>
                <w:rFonts w:hint="default" w:ascii="Times New Roman" w:hAnsi="Times New Roman" w:cs="Times New Roman"/>
                <w:b/>
                <w:bCs/>
                <w:color w:val="000000" w:themeColor="text1"/>
                <w:sz w:val="24"/>
                <w:szCs w:val="24"/>
                <w:highlight w:val="none"/>
                <w14:textFill>
                  <w14:solidFill>
                    <w14:schemeClr w14:val="tx1"/>
                  </w14:solidFill>
                </w14:textFill>
              </w:rPr>
              <w:t>产生情况：</w:t>
            </w:r>
            <w:r>
              <w:rPr>
                <w:rFonts w:hint="default" w:ascii="Times New Roman" w:hAnsi="Times New Roman" w:cs="Times New Roman"/>
                <w:color w:val="000000" w:themeColor="text1"/>
                <w:sz w:val="24"/>
                <w:szCs w:val="24"/>
                <w:highlight w:val="none"/>
                <w14:textFill>
                  <w14:solidFill>
                    <w14:schemeClr w14:val="tx1"/>
                  </w14:solidFill>
                </w14:textFill>
              </w:rPr>
              <w:t>噪声污染是施工期的主要环境问题，本项目噪声污染源主要是设备安装产生的噪声以及人员生活噪声。施工期产生的噪声设备主要有电钻、焊接机等，一般在80~100</w:t>
            </w:r>
            <w:r>
              <w:rPr>
                <w:rFonts w:ascii="Times New Roman" w:hAnsi="Times New Roman" w:cs="Times New Roman"/>
                <w:color w:val="000000" w:themeColor="text1"/>
                <w:sz w:val="24"/>
                <w:szCs w:val="24"/>
                <w:highlight w:val="none"/>
                <w14:textFill>
                  <w14:solidFill>
                    <w14:schemeClr w14:val="tx1"/>
                  </w14:solidFill>
                </w14:textFill>
              </w:rPr>
              <w:t>dB</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）之间，</w:t>
            </w:r>
          </w:p>
          <w:p w14:paraId="600A6E72">
            <w:pPr>
              <w:pStyle w:val="113"/>
              <w:spacing w:beforeLines="0" w:afterLines="0"/>
              <w:rPr>
                <w:rFonts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拟采取措施</w:t>
            </w:r>
            <w:r>
              <w:rPr>
                <w:rFonts w:hint="default" w:ascii="Times New Roman" w:hAnsi="Times New Roman" w:cs="Times New Roman"/>
                <w:b/>
                <w:bCs/>
                <w:color w:val="000000" w:themeColor="text1"/>
                <w:sz w:val="24"/>
                <w:szCs w:val="24"/>
                <w:highlight w:val="none"/>
                <w14:textFill>
                  <w14:solidFill>
                    <w14:schemeClr w14:val="tx1"/>
                  </w14:solidFill>
                </w14:textFill>
              </w:rPr>
              <w:t>：</w:t>
            </w:r>
            <w:bookmarkEnd w:id="9"/>
            <w:bookmarkEnd w:id="10"/>
            <w:bookmarkEnd w:id="11"/>
            <w:bookmarkEnd w:id="12"/>
          </w:p>
          <w:p w14:paraId="024BF83C">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①合理安排作业时间，午间不安排施工作业；</w:t>
            </w:r>
          </w:p>
          <w:p w14:paraId="2AB021A4">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②设备运输车辆的运行线路应尽量避开噪声敏感区域，严禁夜间装卸材料；</w:t>
            </w:r>
          </w:p>
          <w:p w14:paraId="4314A4C2">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③加强施工管理，提倡文明施工。</w:t>
            </w:r>
          </w:p>
          <w:p w14:paraId="039358C9">
            <w:pPr>
              <w:spacing w:beforeLines="0" w:afterLines="0" w:line="360" w:lineRule="auto"/>
              <w:ind w:firstLine="482" w:firstLineChars="200"/>
              <w:rPr>
                <w:rFonts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（四）施工期固体废物环境影响分析和保护措施</w:t>
            </w:r>
          </w:p>
          <w:p w14:paraId="3A1B9EB3">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施工期固体废弃物主要为工程建设的建筑垃圾、施工人员产生的生活垃圾。</w:t>
            </w:r>
          </w:p>
          <w:p w14:paraId="5495DA4D">
            <w:pPr>
              <w:pStyle w:val="113"/>
              <w:spacing w:beforeLines="0" w:afterLines="0"/>
              <w:rPr>
                <w:rFonts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①建筑垃圾</w:t>
            </w:r>
          </w:p>
          <w:p w14:paraId="115388A5">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项目产生的建筑垃圾主要包括废包装纸板、塑料袋等。</w:t>
            </w:r>
          </w:p>
          <w:p w14:paraId="6134B286">
            <w:pPr>
              <w:pStyle w:val="113"/>
              <w:spacing w:beforeLines="0" w:afterLines="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拟采取措施</w:t>
            </w:r>
            <w:r>
              <w:rPr>
                <w:rFonts w:hint="default" w:ascii="Times New Roman" w:hAnsi="Times New Roman" w:cs="Times New Roman"/>
                <w:b/>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对废包装纸板进行回收收集，交废物收购站处理；对塑料袋收集后交由环卫部门处理。</w:t>
            </w:r>
          </w:p>
          <w:p w14:paraId="0B729140">
            <w:pPr>
              <w:pStyle w:val="113"/>
              <w:spacing w:beforeLines="0" w:afterLines="0"/>
              <w:rPr>
                <w:rFonts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②生活垃圾</w:t>
            </w:r>
          </w:p>
          <w:p w14:paraId="64CEE331">
            <w:pPr>
              <w:pStyle w:val="113"/>
              <w:adjustRightInd/>
              <w:spacing w:beforeLines="0" w:afterLines="0"/>
              <w:ind w:firstLine="480" w:firstLineChars="200"/>
              <w:textAlignment w:val="auto"/>
              <w:rPr>
                <w:rFonts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本项目施工人数10人，工期为30天，产生的生活垃圾量按0.5kg/人·d计算，则生活垃圾产生量为0.15</w:t>
            </w:r>
            <w:r>
              <w:rPr>
                <w:rFonts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cs="Times New Roman"/>
                <w:color w:val="000000" w:themeColor="text1"/>
                <w:sz w:val="24"/>
                <w:szCs w:val="24"/>
                <w:highlight w:val="none"/>
                <w14:textFill>
                  <w14:solidFill>
                    <w14:schemeClr w14:val="tx1"/>
                  </w14:solidFill>
                </w14:textFill>
              </w:rPr>
              <w:t>。</w:t>
            </w:r>
          </w:p>
          <w:p w14:paraId="33EECC24">
            <w:pPr>
              <w:pStyle w:val="113"/>
              <w:adjustRightInd/>
              <w:spacing w:beforeLines="0" w:afterLines="0"/>
              <w:ind w:firstLine="482" w:firstLineChars="200"/>
              <w:textAlignment w:val="auto"/>
              <w:rPr>
                <w:rFonts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拟采取措施</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项目施工期间产生的产生的生活垃圾交由环卫部门统一清运。</w:t>
            </w:r>
          </w:p>
          <w:p w14:paraId="6E003531">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综上，本项目施工期在采取严格污染防控措施后，各污染物能达标排放，且施工时间较短，对环境影响是暂时的，随施工期的结束而消失</w:t>
            </w:r>
            <w:r>
              <w:rPr>
                <w:rFonts w:ascii="Times New Roman" w:hAnsi="Times New Roman" w:eastAsia="宋体" w:cs="Times New Roman"/>
                <w:color w:val="000000" w:themeColor="text1"/>
                <w:sz w:val="24"/>
                <w:szCs w:val="24"/>
                <w:highlight w:val="none"/>
                <w14:textFill>
                  <w14:solidFill>
                    <w14:schemeClr w14:val="tx1"/>
                  </w14:solidFill>
                </w14:textFill>
              </w:rPr>
              <w:t>。</w:t>
            </w:r>
          </w:p>
        </w:tc>
      </w:tr>
      <w:tr w14:paraId="434C6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3" w:type="pct"/>
            <w:noWrap w:val="0"/>
            <w:tcMar>
              <w:left w:w="28" w:type="dxa"/>
              <w:right w:w="28" w:type="dxa"/>
            </w:tcMar>
            <w:vAlign w:val="center"/>
          </w:tcPr>
          <w:p w14:paraId="66A3FC45">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运营</w:t>
            </w:r>
          </w:p>
          <w:p w14:paraId="0F2515F9">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期环</w:t>
            </w:r>
          </w:p>
          <w:p w14:paraId="0CB2C763">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境影</w:t>
            </w:r>
          </w:p>
          <w:p w14:paraId="518C5C93">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响和</w:t>
            </w:r>
          </w:p>
          <w:p w14:paraId="0466FDA6">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保护</w:t>
            </w:r>
          </w:p>
          <w:p w14:paraId="19AE6BA0">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措施</w:t>
            </w:r>
          </w:p>
        </w:tc>
        <w:tc>
          <w:tcPr>
            <w:tcW w:w="4796" w:type="pct"/>
            <w:noWrap w:val="0"/>
            <w:vAlign w:val="center"/>
          </w:tcPr>
          <w:p w14:paraId="25F13E34">
            <w:pPr>
              <w:keepNext w:val="0"/>
              <w:keepLines w:val="0"/>
              <w:pageBreakBefore w:val="0"/>
              <w:numPr>
                <w:ilvl w:val="0"/>
                <w:numId w:val="6"/>
              </w:numPr>
              <w:kinsoku/>
              <w:wordWrap/>
              <w:overflowPunct/>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废气污染物产生及治理</w:t>
            </w:r>
          </w:p>
          <w:p w14:paraId="613D53D6">
            <w:pPr>
              <w:keepLines w:val="0"/>
              <w:pageBreakBefore w:val="0"/>
              <w:kinsoku/>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项目产生的废气主要为原料</w:t>
            </w:r>
            <w:r>
              <w:rPr>
                <w:rFonts w:hint="default" w:ascii="Times New Roman" w:hAnsi="Times New Roman" w:cs="Times New Roman"/>
                <w:color w:val="000000" w:themeColor="text1"/>
                <w:kern w:val="21"/>
                <w:sz w:val="24"/>
                <w:szCs w:val="24"/>
                <w:highlight w:val="none"/>
                <w:lang w:eastAsia="zh-CN"/>
                <w14:textFill>
                  <w14:solidFill>
                    <w14:schemeClr w14:val="tx1"/>
                  </w14:solidFill>
                </w14:textFill>
              </w:rPr>
              <w:t>卸料、堆存</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粉尘、</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搅拌</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粉尘、筒仓仓顶呼吸孔粉尘、</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运输扬尘</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汽车运输尾气</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、食堂油烟</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p>
          <w:p w14:paraId="06DBA8A8">
            <w:pPr>
              <w:keepLines w:val="0"/>
              <w:pageBreakBefore w:val="0"/>
              <w:kinsoku/>
              <w:bidi w:val="0"/>
              <w:snapToGrid/>
              <w:spacing w:beforeLines="0" w:afterLines="0" w:line="360" w:lineRule="auto"/>
              <w:ind w:firstLine="482" w:firstLineChars="200"/>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（1）污染源源强核算</w:t>
            </w:r>
          </w:p>
          <w:p w14:paraId="766BF665">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1）原料堆场粉尘</w:t>
            </w:r>
          </w:p>
          <w:p w14:paraId="63224BDE">
            <w:pPr>
              <w:keepNext w:val="0"/>
              <w:keepLines w:val="0"/>
              <w:pageBreakBefore w:val="0"/>
              <w:kinsoku/>
              <w:wordWrap/>
              <w:topLinePunct w:val="0"/>
              <w:bidi w:val="0"/>
              <w:snapToGrid/>
              <w:spacing w:beforeLines="0" w:beforeAutospacing="0" w:afterLines="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①产生情况</w:t>
            </w:r>
          </w:p>
          <w:p w14:paraId="344B1F6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厂区生产使用的砂石</w:t>
            </w:r>
            <w:r>
              <w:rPr>
                <w:rFonts w:hint="eastAsia" w:cs="Times New Roman"/>
                <w:color w:val="000000" w:themeColor="text1"/>
                <w:sz w:val="24"/>
                <w:szCs w:val="24"/>
                <w:highlight w:val="none"/>
                <w:lang w:val="en-US" w:eastAsia="zh-CN"/>
                <w14:textFill>
                  <w14:solidFill>
                    <w14:schemeClr w14:val="tx1"/>
                  </w14:solidFill>
                </w14:textFill>
              </w:rPr>
              <w:t>和碎石</w:t>
            </w:r>
            <w:r>
              <w:rPr>
                <w:rFonts w:hint="default" w:ascii="Times New Roman" w:hAnsi="Times New Roman" w:cs="Times New Roman"/>
                <w:color w:val="000000" w:themeColor="text1"/>
                <w:sz w:val="24"/>
                <w:szCs w:val="24"/>
                <w:highlight w:val="none"/>
                <w14:textFill>
                  <w14:solidFill>
                    <w14:schemeClr w14:val="tx1"/>
                  </w14:solidFill>
                </w14:textFill>
              </w:rPr>
              <w:t>原料</w:t>
            </w:r>
            <w:r>
              <w:rPr>
                <w:rFonts w:hint="eastAsia" w:cs="Times New Roman"/>
                <w:color w:val="000000" w:themeColor="text1"/>
                <w:sz w:val="24"/>
                <w:szCs w:val="24"/>
                <w:highlight w:val="none"/>
                <w:lang w:val="en-US" w:eastAsia="zh-CN"/>
                <w14:textFill>
                  <w14:solidFill>
                    <w14:schemeClr w14:val="tx1"/>
                  </w14:solidFill>
                </w14:textFill>
              </w:rPr>
              <w:t>许堆放在车间内</w:t>
            </w:r>
            <w:r>
              <w:rPr>
                <w:rFonts w:hint="default" w:ascii="Times New Roman" w:hAnsi="Times New Roman" w:cs="Times New Roman"/>
                <w:color w:val="000000" w:themeColor="text1"/>
                <w:sz w:val="24"/>
                <w:szCs w:val="24"/>
                <w:highlight w:val="none"/>
                <w14:textFill>
                  <w14:solidFill>
                    <w14:schemeClr w14:val="tx1"/>
                  </w14:solidFill>
                </w14:textFill>
              </w:rPr>
              <w:t>，全年全厂</w:t>
            </w:r>
            <w:r>
              <w:rPr>
                <w:rFonts w:hint="eastAsia" w:cs="Times New Roman"/>
                <w:color w:val="000000" w:themeColor="text1"/>
                <w:sz w:val="24"/>
                <w:szCs w:val="24"/>
                <w:highlight w:val="none"/>
                <w:lang w:val="en-US" w:eastAsia="zh-CN"/>
                <w14:textFill>
                  <w14:solidFill>
                    <w14:schemeClr w14:val="tx1"/>
                  </w14:solidFill>
                </w14:textFill>
              </w:rPr>
              <w:t>堆放</w:t>
            </w:r>
            <w:r>
              <w:rPr>
                <w:rFonts w:hint="default" w:ascii="Times New Roman" w:hAnsi="Times New Roman" w:cs="Times New Roman"/>
                <w:color w:val="000000" w:themeColor="text1"/>
                <w:sz w:val="24"/>
                <w:szCs w:val="24"/>
                <w:highlight w:val="none"/>
                <w14:textFill>
                  <w14:solidFill>
                    <w14:schemeClr w14:val="tx1"/>
                  </w14:solidFill>
                </w14:textFill>
              </w:rPr>
              <w:t>为20000吨，碎石323401.97吨。</w:t>
            </w:r>
          </w:p>
          <w:p w14:paraId="41145E03">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生态环境部2021年6月发布的《排放源统计调查产排污核算方法和系数手册》中的《工业源固体物料堆场颗粒物核算系数手册》，工业企业固体物料堆存颗粒物包括装卸场尘和风蚀扬尘，颗粒物产生量核算公式如下：</w:t>
            </w:r>
          </w:p>
          <w:p w14:paraId="0F787E24">
            <w:pPr>
              <w:keepNext w:val="0"/>
              <w:keepLines w:val="0"/>
              <w:pageBreakBefore w:val="0"/>
              <w:kinsoku/>
              <w:wordWrap/>
              <w:topLinePunct w:val="0"/>
              <w:bidi w:val="0"/>
              <w:snapToGrid/>
              <w:spacing w:beforeLines="0" w:beforeAutospacing="0" w:afterLines="0" w:afterAutospacing="0" w:line="360" w:lineRule="auto"/>
              <w:ind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5207635" cy="490220"/>
                  <wp:effectExtent l="0" t="0" r="1905" b="762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9" cstate="print"/>
                          <a:stretch>
                            <a:fillRect/>
                          </a:stretch>
                        </pic:blipFill>
                        <pic:spPr>
                          <a:xfrm>
                            <a:off x="0" y="0"/>
                            <a:ext cx="5207635" cy="490220"/>
                          </a:xfrm>
                          <a:prstGeom prst="rect">
                            <a:avLst/>
                          </a:prstGeom>
                          <a:noFill/>
                          <a:ln>
                            <a:noFill/>
                          </a:ln>
                        </pic:spPr>
                      </pic:pic>
                    </a:graphicData>
                  </a:graphic>
                </wp:inline>
              </w:drawing>
            </w:r>
          </w:p>
          <w:p w14:paraId="7C307685">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式中：</w:t>
            </w:r>
          </w:p>
          <w:p w14:paraId="78A2B82F">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P 指颗粒物产生量（单位：吨）</w:t>
            </w:r>
          </w:p>
          <w:p w14:paraId="4753FE71">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p>
          <w:p w14:paraId="79186429">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ZCy指装卸扬尘产生量（单位：吨）；</w:t>
            </w:r>
          </w:p>
          <w:p w14:paraId="2081B32F">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FCy指风蚀扬尘产生量（单位：吨）；</w:t>
            </w:r>
          </w:p>
          <w:p w14:paraId="0C0296F9">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Nc指年物料运载车次（单位：车），本项目原料</w:t>
            </w:r>
            <w:r>
              <w:rPr>
                <w:rFonts w:hint="eastAsia" w:cs="Times New Roman"/>
                <w:color w:val="000000" w:themeColor="text1"/>
                <w:sz w:val="24"/>
                <w:szCs w:val="24"/>
                <w:highlight w:val="none"/>
                <w:lang w:val="en-US" w:eastAsia="zh-CN"/>
                <w14:textFill>
                  <w14:solidFill>
                    <w14:schemeClr w14:val="tx1"/>
                  </w14:solidFill>
                </w14:textFill>
              </w:rPr>
              <w:t>343400</w:t>
            </w:r>
            <w:r>
              <w:rPr>
                <w:rFonts w:hint="default" w:ascii="Times New Roman" w:hAnsi="Times New Roman" w:cs="Times New Roman"/>
                <w:color w:val="000000" w:themeColor="text1"/>
                <w:sz w:val="24"/>
                <w:szCs w:val="24"/>
                <w:highlight w:val="none"/>
                <w14:textFill>
                  <w14:solidFill>
                    <w14:schemeClr w14:val="tx1"/>
                  </w14:solidFill>
                </w14:textFill>
              </w:rPr>
              <w:t>吨，运载</w:t>
            </w:r>
            <w:r>
              <w:rPr>
                <w:rFonts w:hint="eastAsia" w:cs="Times New Roman"/>
                <w:color w:val="000000" w:themeColor="text1"/>
                <w:sz w:val="24"/>
                <w:szCs w:val="24"/>
                <w:highlight w:val="none"/>
                <w:lang w:val="en-US" w:eastAsia="zh-CN"/>
                <w14:textFill>
                  <w14:solidFill>
                    <w14:schemeClr w14:val="tx1"/>
                  </w14:solidFill>
                </w14:textFill>
              </w:rPr>
              <w:t>6868</w:t>
            </w:r>
            <w:r>
              <w:rPr>
                <w:rFonts w:hint="default" w:ascii="Times New Roman" w:hAnsi="Times New Roman" w:cs="Times New Roman"/>
                <w:color w:val="000000" w:themeColor="text1"/>
                <w:sz w:val="24"/>
                <w:szCs w:val="24"/>
                <w:highlight w:val="none"/>
                <w14:textFill>
                  <w14:solidFill>
                    <w14:schemeClr w14:val="tx1"/>
                  </w14:solidFill>
                </w14:textFill>
              </w:rPr>
              <w:t>车次；</w:t>
            </w:r>
          </w:p>
          <w:p w14:paraId="7C8A80EA">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D 指单车平均运载量（单位：吨/车），本项目所用货车单车运载量为</w:t>
            </w:r>
            <w:r>
              <w:rPr>
                <w:rFonts w:hint="eastAsia" w:cs="Times New Roman"/>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color w:val="000000" w:themeColor="text1"/>
                <w:sz w:val="24"/>
                <w:szCs w:val="24"/>
                <w:highlight w:val="none"/>
                <w14:textFill>
                  <w14:solidFill>
                    <w14:schemeClr w14:val="tx1"/>
                  </w14:solidFill>
                </w14:textFill>
              </w:rPr>
              <w:t>吨；</w:t>
            </w:r>
          </w:p>
          <w:p w14:paraId="2531E9B4">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（a/b）指装卸扬尘概化系数（单位：千克/吨），a 指各省风速概化系数（根据附录1，四川省累年平均风速为1.35m/s，a为0.0006），b 指物料含水率概化系数（参考附录2，原料参考混合矿石）；</w:t>
            </w:r>
          </w:p>
          <w:p w14:paraId="4D64BA2B">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Ef指堆场风蚀扬尘概化系数（参考附录3，原料参考表土，骨料成品参考混合矿石），（单位：千克/平方米）；</w:t>
            </w:r>
          </w:p>
          <w:p w14:paraId="516AC21F">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S 指堆场占地面积（单位：平方米），本项目原料堆场面积为</w:t>
            </w:r>
            <w:r>
              <w:rPr>
                <w:rFonts w:hint="eastAsia" w:cs="Times New Roman"/>
                <w:color w:val="000000" w:themeColor="text1"/>
                <w:sz w:val="24"/>
                <w:szCs w:val="24"/>
                <w:highlight w:val="none"/>
                <w:lang w:val="en-US" w:eastAsia="zh-CN"/>
                <w14:textFill>
                  <w14:solidFill>
                    <w14:schemeClr w14:val="tx1"/>
                  </w14:solidFill>
                </w14:textFill>
              </w:rPr>
              <w:t>2100</w:t>
            </w:r>
            <w:r>
              <w:rPr>
                <w:rFonts w:hint="default" w:ascii="Times New Roman" w:hAnsi="Times New Roman" w:cs="Times New Roman"/>
                <w:color w:val="000000" w:themeColor="text1"/>
                <w:sz w:val="24"/>
                <w:szCs w:val="24"/>
                <w:highlight w:val="none"/>
                <w14:textFill>
                  <w14:solidFill>
                    <w14:schemeClr w14:val="tx1"/>
                  </w14:solidFill>
                </w14:textFill>
              </w:rPr>
              <w:t>m2。</w:t>
            </w:r>
          </w:p>
          <w:p w14:paraId="1FD8B123">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本项目原料堆场各参数取值如下：</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34"/>
              <w:gridCol w:w="1133"/>
              <w:gridCol w:w="1133"/>
              <w:gridCol w:w="1133"/>
              <w:gridCol w:w="1134"/>
              <w:gridCol w:w="1134"/>
              <w:gridCol w:w="1135"/>
            </w:tblGrid>
            <w:tr w14:paraId="47CC2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14" w:type="pct"/>
                  <w:tcBorders>
                    <w:tl2br w:val="nil"/>
                    <w:tr2bl w:val="nil"/>
                  </w:tcBorders>
                  <w:shd w:val="clear" w:color="auto" w:fill="auto"/>
                  <w:vAlign w:val="center"/>
                </w:tcPr>
                <w:p w14:paraId="6129130B">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参数</w:t>
                  </w:r>
                </w:p>
              </w:tc>
              <w:tc>
                <w:tcPr>
                  <w:tcW w:w="713" w:type="pct"/>
                  <w:tcBorders>
                    <w:tl2br w:val="nil"/>
                    <w:tr2bl w:val="nil"/>
                  </w:tcBorders>
                  <w:shd w:val="clear" w:color="auto" w:fill="auto"/>
                  <w:vAlign w:val="center"/>
                </w:tcPr>
                <w:p w14:paraId="7E086EC2">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Nc</w:t>
                  </w:r>
                </w:p>
              </w:tc>
              <w:tc>
                <w:tcPr>
                  <w:tcW w:w="713" w:type="pct"/>
                  <w:tcBorders>
                    <w:tl2br w:val="nil"/>
                    <w:tr2bl w:val="nil"/>
                  </w:tcBorders>
                  <w:shd w:val="clear" w:color="auto" w:fill="auto"/>
                  <w:vAlign w:val="center"/>
                </w:tcPr>
                <w:p w14:paraId="5E7F4F05">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D</w:t>
                  </w:r>
                </w:p>
              </w:tc>
              <w:tc>
                <w:tcPr>
                  <w:tcW w:w="713" w:type="pct"/>
                  <w:tcBorders>
                    <w:tl2br w:val="nil"/>
                    <w:tr2bl w:val="nil"/>
                  </w:tcBorders>
                  <w:shd w:val="clear" w:color="auto" w:fill="auto"/>
                  <w:vAlign w:val="center"/>
                </w:tcPr>
                <w:p w14:paraId="7E645CB8">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a</w:t>
                  </w:r>
                </w:p>
              </w:tc>
              <w:tc>
                <w:tcPr>
                  <w:tcW w:w="714" w:type="pct"/>
                  <w:tcBorders>
                    <w:tl2br w:val="nil"/>
                    <w:tr2bl w:val="nil"/>
                  </w:tcBorders>
                  <w:shd w:val="clear" w:color="auto" w:fill="auto"/>
                  <w:vAlign w:val="center"/>
                </w:tcPr>
                <w:p w14:paraId="4F641A45">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b</w:t>
                  </w:r>
                </w:p>
              </w:tc>
              <w:tc>
                <w:tcPr>
                  <w:tcW w:w="714" w:type="pct"/>
                  <w:tcBorders>
                    <w:tl2br w:val="nil"/>
                    <w:tr2bl w:val="nil"/>
                  </w:tcBorders>
                  <w:shd w:val="clear" w:color="auto" w:fill="auto"/>
                  <w:vAlign w:val="center"/>
                </w:tcPr>
                <w:p w14:paraId="25921E2A">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E</w:t>
                  </w:r>
                  <w:r>
                    <w:rPr>
                      <w:rFonts w:ascii="Times New Roman" w:hAnsi="Times New Roman" w:cs="Times New Roman"/>
                      <w:b/>
                      <w:bCs/>
                      <w:color w:val="000000" w:themeColor="text1"/>
                      <w:sz w:val="21"/>
                      <w:szCs w:val="21"/>
                      <w:highlight w:val="none"/>
                      <w:vertAlign w:val="subscript"/>
                      <w14:textFill>
                        <w14:solidFill>
                          <w14:schemeClr w14:val="tx1"/>
                        </w14:solidFill>
                      </w14:textFill>
                    </w:rPr>
                    <w:t>f</w:t>
                  </w:r>
                </w:p>
              </w:tc>
              <w:tc>
                <w:tcPr>
                  <w:tcW w:w="714" w:type="pct"/>
                  <w:tcBorders>
                    <w:tl2br w:val="nil"/>
                    <w:tr2bl w:val="nil"/>
                  </w:tcBorders>
                  <w:shd w:val="clear" w:color="auto" w:fill="auto"/>
                  <w:vAlign w:val="center"/>
                </w:tcPr>
                <w:p w14:paraId="7DD10611">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S</w:t>
                  </w:r>
                </w:p>
              </w:tc>
            </w:tr>
            <w:tr w14:paraId="4C5BC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tcBorders>
                    <w:tl2br w:val="nil"/>
                    <w:tr2bl w:val="nil"/>
                  </w:tcBorders>
                  <w:shd w:val="clear" w:color="auto" w:fill="auto"/>
                  <w:vAlign w:val="center"/>
                </w:tcPr>
                <w:p w14:paraId="3E04D928">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原料堆场</w:t>
                  </w:r>
                </w:p>
              </w:tc>
              <w:tc>
                <w:tcPr>
                  <w:tcW w:w="713" w:type="pct"/>
                  <w:tcBorders>
                    <w:tl2br w:val="nil"/>
                    <w:tr2bl w:val="nil"/>
                  </w:tcBorders>
                  <w:shd w:val="clear" w:color="auto" w:fill="auto"/>
                  <w:vAlign w:val="center"/>
                </w:tcPr>
                <w:p w14:paraId="4FF4C452">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6868</w:t>
                  </w:r>
                </w:p>
              </w:tc>
              <w:tc>
                <w:tcPr>
                  <w:tcW w:w="713" w:type="pct"/>
                  <w:tcBorders>
                    <w:tl2br w:val="nil"/>
                    <w:tr2bl w:val="nil"/>
                  </w:tcBorders>
                  <w:shd w:val="clear" w:color="auto" w:fill="auto"/>
                  <w:vAlign w:val="center"/>
                </w:tcPr>
                <w:p w14:paraId="7A8227D6">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713" w:type="pct"/>
                  <w:tcBorders>
                    <w:tl2br w:val="nil"/>
                    <w:tr2bl w:val="nil"/>
                  </w:tcBorders>
                  <w:shd w:val="clear" w:color="auto" w:fill="auto"/>
                  <w:vAlign w:val="center"/>
                </w:tcPr>
                <w:p w14:paraId="79A812ED">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0.0006</w:t>
                  </w:r>
                </w:p>
              </w:tc>
              <w:tc>
                <w:tcPr>
                  <w:tcW w:w="714" w:type="pct"/>
                  <w:tcBorders>
                    <w:tl2br w:val="nil"/>
                    <w:tr2bl w:val="nil"/>
                  </w:tcBorders>
                  <w:shd w:val="clear" w:color="auto" w:fill="auto"/>
                  <w:vAlign w:val="center"/>
                </w:tcPr>
                <w:p w14:paraId="5E5F8221">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0.0151</w:t>
                  </w:r>
                </w:p>
              </w:tc>
              <w:tc>
                <w:tcPr>
                  <w:tcW w:w="714" w:type="pct"/>
                  <w:tcBorders>
                    <w:tl2br w:val="nil"/>
                    <w:tr2bl w:val="nil"/>
                  </w:tcBorders>
                  <w:shd w:val="clear" w:color="auto" w:fill="auto"/>
                  <w:vAlign w:val="center"/>
                </w:tcPr>
                <w:p w14:paraId="23BAF858">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41.58</w:t>
                  </w:r>
                  <w:r>
                    <w:rPr>
                      <w:rFonts w:hint="eastAsia"/>
                      <w:color w:val="000000" w:themeColor="text1"/>
                      <w:sz w:val="21"/>
                      <w:szCs w:val="21"/>
                      <w:highlight w:val="none"/>
                      <w:lang w:val="en-US" w:eastAsia="zh-CN"/>
                      <w14:textFill>
                        <w14:solidFill>
                          <w14:schemeClr w14:val="tx1"/>
                        </w14:solidFill>
                      </w14:textFill>
                    </w:rPr>
                    <w:t>08</w:t>
                  </w:r>
                </w:p>
              </w:tc>
              <w:tc>
                <w:tcPr>
                  <w:tcW w:w="714" w:type="pct"/>
                  <w:tcBorders>
                    <w:tl2br w:val="nil"/>
                    <w:tr2bl w:val="nil"/>
                  </w:tcBorders>
                  <w:shd w:val="clear" w:color="auto" w:fill="auto"/>
                  <w:vAlign w:val="center"/>
                </w:tcPr>
                <w:p w14:paraId="12EFB682">
                  <w:pPr>
                    <w:pStyle w:val="15"/>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2100</w:t>
                  </w:r>
                </w:p>
              </w:tc>
            </w:tr>
          </w:tbl>
          <w:p w14:paraId="6A144BCE">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根据公式，计算物料卸料及堆放颗粒物产生量为：</w:t>
            </w:r>
            <w:r>
              <w:rPr>
                <w:rFonts w:hint="eastAsia" w:cs="Times New Roman"/>
                <w:color w:val="000000" w:themeColor="text1"/>
                <w:sz w:val="24"/>
                <w:szCs w:val="24"/>
                <w:highlight w:val="none"/>
                <w:lang w:val="en-US" w:eastAsia="zh-CN"/>
                <w14:textFill>
                  <w14:solidFill>
                    <w14:schemeClr w14:val="tx1"/>
                  </w14:solidFill>
                </w14:textFill>
              </w:rPr>
              <w:t>188</w:t>
            </w:r>
            <w:r>
              <w:rPr>
                <w:rFonts w:hint="default" w:ascii="Times New Roman" w:hAnsi="Times New Roman" w:cs="Times New Roman"/>
                <w:color w:val="000000" w:themeColor="text1"/>
                <w:sz w:val="24"/>
                <w:szCs w:val="24"/>
                <w:highlight w:val="none"/>
                <w14:textFill>
                  <w14:solidFill>
                    <w14:schemeClr w14:val="tx1"/>
                  </w14:solidFill>
                </w14:textFill>
              </w:rPr>
              <w:t>t/a。</w:t>
            </w:r>
          </w:p>
          <w:p w14:paraId="66A24C81">
            <w:pPr>
              <w:keepNext w:val="0"/>
              <w:keepLines w:val="0"/>
              <w:pageBreakBefore w:val="0"/>
              <w:kinsoku/>
              <w:wordWrap/>
              <w:topLinePunct w:val="0"/>
              <w:bidi w:val="0"/>
              <w:snapToGrid/>
              <w:spacing w:beforeLines="0" w:beforeAutospacing="0" w:afterLines="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②治理措施及排放量</w:t>
            </w:r>
          </w:p>
          <w:p w14:paraId="10F29C4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环评要求对原料堆放区进行封闭（车间结构采用封闭框架彩钢结构，窗户采用封闭透光窗户，仅设置车辆出入口）；</w:t>
            </w:r>
            <w:r>
              <w:rPr>
                <w:rFonts w:hint="eastAsia" w:cs="Times New Roman"/>
                <w:color w:val="000000" w:themeColor="text1"/>
                <w:sz w:val="24"/>
                <w:szCs w:val="24"/>
                <w:highlight w:val="none"/>
                <w:lang w:val="en-US" w:eastAsia="zh-CN"/>
                <w14:textFill>
                  <w14:solidFill>
                    <w14:schemeClr w14:val="tx1"/>
                  </w14:solidFill>
                </w14:textFill>
              </w:rPr>
              <w:t>出入车辆冲洗，</w:t>
            </w:r>
            <w:r>
              <w:rPr>
                <w:rFonts w:hint="default" w:ascii="Times New Roman" w:hAnsi="Times New Roman" w:cs="Times New Roman"/>
                <w:color w:val="000000" w:themeColor="text1"/>
                <w:sz w:val="24"/>
                <w:szCs w:val="24"/>
                <w:highlight w:val="none"/>
                <w14:textFill>
                  <w14:solidFill>
                    <w14:schemeClr w14:val="tx1"/>
                  </w14:solidFill>
                </w14:textFill>
              </w:rPr>
              <w:t>车间内设置雾化喷嘴（单个喷洒半径为5m）和一条移动喷水软管；项目卸料作业在本次建设的密闭厂房内进行，将原料车直接开入原料堆场内，再进行原料的卸料；另外需保持路面清洁、定期洒水提高砂石含水率；加强厂区周围环境的绿化，减少无组织排放粉尘对外环境的影响。同时根据市场需要安排生产，避免产品于厂区内大量堆放。并根据生产情况合理存放原料用量，避免产品、原料堆放过程中造成粉尘等二次污染。</w:t>
            </w:r>
          </w:p>
          <w:p w14:paraId="2CCB6383">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根据工业企业固体物料堆场颗粒物排放量核算公式如下：</w:t>
            </w:r>
          </w:p>
          <w:p w14:paraId="2A050481">
            <w:pPr>
              <w:keepNext w:val="0"/>
              <w:keepLines w:val="0"/>
              <w:pageBreakBefore w:val="0"/>
              <w:kinsoku/>
              <w:wordWrap/>
              <w:topLinePunct w:val="0"/>
              <w:bidi w:val="0"/>
              <w:snapToGrid/>
              <w:spacing w:beforeLines="0" w:beforeAutospacing="0" w:afterLines="0" w:afterAutospacing="0" w:line="360" w:lineRule="auto"/>
              <w:ind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3467735" cy="466090"/>
                  <wp:effectExtent l="0" t="0" r="17145" b="1397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20" cstate="print"/>
                          <a:stretch>
                            <a:fillRect/>
                          </a:stretch>
                        </pic:blipFill>
                        <pic:spPr>
                          <a:xfrm>
                            <a:off x="0" y="0"/>
                            <a:ext cx="3467735" cy="466090"/>
                          </a:xfrm>
                          <a:prstGeom prst="rect">
                            <a:avLst/>
                          </a:prstGeom>
                          <a:noFill/>
                          <a:ln>
                            <a:noFill/>
                          </a:ln>
                        </pic:spPr>
                      </pic:pic>
                    </a:graphicData>
                  </a:graphic>
                </wp:inline>
              </w:drawing>
            </w:r>
          </w:p>
          <w:p w14:paraId="79FC5307">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式中：</w:t>
            </w:r>
          </w:p>
          <w:p w14:paraId="4814ECFE">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P 指颗粒物产生量（单位：吨）；</w:t>
            </w:r>
          </w:p>
          <w:p w14:paraId="427BC41E">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Uc指颗粒物排放量（单位：吨）；</w:t>
            </w:r>
          </w:p>
          <w:p w14:paraId="17BE14F4">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Cm指颗粒物控制措施控制效率（单位：%），见附录4；</w:t>
            </w:r>
          </w:p>
          <w:p w14:paraId="16278678">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Tm指堆场类型控制效率（单位：%），见附录 5。</w:t>
            </w:r>
          </w:p>
          <w:p w14:paraId="3ABC76E0">
            <w:pPr>
              <w:tabs>
                <w:tab w:val="left" w:pos="-177"/>
              </w:tabs>
              <w:spacing w:line="360" w:lineRule="auto"/>
              <w:ind w:firstLine="482" w:firstLineChars="200"/>
              <w:rPr>
                <w:b/>
                <w:bCs w:val="0"/>
                <w:color w:val="000000" w:themeColor="text1"/>
                <w:sz w:val="24"/>
                <w:szCs w:val="24"/>
                <w:highlight w:val="none"/>
                <w14:textFill>
                  <w14:solidFill>
                    <w14:schemeClr w14:val="tx1"/>
                  </w14:solidFill>
                </w14:textFill>
              </w:rPr>
            </w:pPr>
            <w:r>
              <w:rPr>
                <w:rFonts w:hint="eastAsia"/>
                <w:b/>
                <w:bCs w:val="0"/>
                <w:color w:val="000000" w:themeColor="text1"/>
                <w:sz w:val="24"/>
                <w:szCs w:val="24"/>
                <w:highlight w:val="none"/>
                <w14:textFill>
                  <w14:solidFill>
                    <w14:schemeClr w14:val="tx1"/>
                  </w14:solidFill>
                </w14:textFill>
              </w:rPr>
              <w:t>附录4:粉尘控制措施控制效率</w:t>
            </w:r>
          </w:p>
          <w:p w14:paraId="600199C2">
            <w:pPr>
              <w:tabs>
                <w:tab w:val="left" w:pos="-177"/>
              </w:tabs>
              <w:spacing w:line="36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4987290" cy="1546225"/>
                  <wp:effectExtent l="0" t="0" r="3810" b="158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21" cstate="print"/>
                          <a:srcRect l="6457" t="21230"/>
                          <a:stretch>
                            <a:fillRect/>
                          </a:stretch>
                        </pic:blipFill>
                        <pic:spPr>
                          <a:xfrm>
                            <a:off x="0" y="0"/>
                            <a:ext cx="4987290" cy="1546225"/>
                          </a:xfrm>
                          <a:prstGeom prst="rect">
                            <a:avLst/>
                          </a:prstGeom>
                          <a:noFill/>
                          <a:ln>
                            <a:noFill/>
                          </a:ln>
                        </pic:spPr>
                      </pic:pic>
                    </a:graphicData>
                  </a:graphic>
                </wp:inline>
              </w:drawing>
            </w:r>
          </w:p>
          <w:p w14:paraId="4DFABA7F">
            <w:pPr>
              <w:tabs>
                <w:tab w:val="left" w:pos="-177"/>
              </w:tabs>
              <w:spacing w:line="360" w:lineRule="auto"/>
              <w:ind w:firstLine="482" w:firstLineChars="200"/>
              <w:rPr>
                <w:rFonts w:hint="eastAsia"/>
                <w:b/>
                <w:bCs w:val="0"/>
                <w:color w:val="000000" w:themeColor="text1"/>
                <w:sz w:val="24"/>
                <w:szCs w:val="24"/>
                <w:highlight w:val="none"/>
                <w14:textFill>
                  <w14:solidFill>
                    <w14:schemeClr w14:val="tx1"/>
                  </w14:solidFill>
                </w14:textFill>
              </w:rPr>
            </w:pPr>
            <w:r>
              <w:rPr>
                <w:rFonts w:hint="eastAsia"/>
                <w:b/>
                <w:bCs w:val="0"/>
                <w:color w:val="000000" w:themeColor="text1"/>
                <w:sz w:val="24"/>
                <w:szCs w:val="24"/>
                <w:highlight w:val="none"/>
                <w14:textFill>
                  <w14:solidFill>
                    <w14:schemeClr w14:val="tx1"/>
                  </w14:solidFill>
                </w14:textFill>
              </w:rPr>
              <w:t>附录5:堆场类型控制效率</w:t>
            </w:r>
          </w:p>
          <w:p w14:paraId="70060568">
            <w:pPr>
              <w:pStyle w:val="15"/>
              <w:spacing w:line="36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4867910" cy="1144270"/>
                  <wp:effectExtent l="0" t="0" r="3810" b="1143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22" cstate="print"/>
                          <a:srcRect l="13664" t="34505"/>
                          <a:stretch>
                            <a:fillRect/>
                          </a:stretch>
                        </pic:blipFill>
                        <pic:spPr>
                          <a:xfrm>
                            <a:off x="0" y="0"/>
                            <a:ext cx="4867910" cy="1144270"/>
                          </a:xfrm>
                          <a:prstGeom prst="rect">
                            <a:avLst/>
                          </a:prstGeom>
                          <a:noFill/>
                          <a:ln>
                            <a:noFill/>
                          </a:ln>
                        </pic:spPr>
                      </pic:pic>
                    </a:graphicData>
                  </a:graphic>
                </wp:inline>
              </w:drawing>
            </w:r>
          </w:p>
          <w:p w14:paraId="7F204017">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综上，本项目颗粒物控制措施：洒水，控制效率为74%；出入车辆冲洗，效率为78%。堆场类型为密闭式，控制效率为99%。</w:t>
            </w:r>
          </w:p>
          <w:p w14:paraId="402F3B91">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本项目实施后Uc=</w:t>
            </w:r>
            <w:r>
              <w:rPr>
                <w:rFonts w:hint="eastAsia" w:cs="Times New Roman"/>
                <w:color w:val="000000" w:themeColor="text1"/>
                <w:sz w:val="24"/>
                <w:szCs w:val="24"/>
                <w:highlight w:val="none"/>
                <w:lang w:val="en-US" w:eastAsia="zh-CN"/>
                <w14:textFill>
                  <w14:solidFill>
                    <w14:schemeClr w14:val="tx1"/>
                  </w14:solidFill>
                </w14:textFill>
              </w:rPr>
              <w:t>188</w:t>
            </w:r>
            <w:r>
              <w:rPr>
                <w:rFonts w:hint="default" w:ascii="Times New Roman" w:hAnsi="Times New Roman" w:cs="Times New Roman"/>
                <w:color w:val="000000" w:themeColor="text1"/>
                <w:sz w:val="24"/>
                <w:szCs w:val="24"/>
                <w:highlight w:val="none"/>
                <w14:textFill>
                  <w14:solidFill>
                    <w14:schemeClr w14:val="tx1"/>
                  </w14:solidFill>
                </w14:textFill>
              </w:rPr>
              <w:t>*（1-74%）*（1-78%）*（1-99%）*（1-60%）=</w:t>
            </w:r>
            <w:r>
              <w:rPr>
                <w:rFonts w:hint="eastAsia" w:cs="Times New Roman"/>
                <w:color w:val="000000" w:themeColor="text1"/>
                <w:sz w:val="24"/>
                <w:szCs w:val="24"/>
                <w:highlight w:val="none"/>
                <w:lang w:val="en-US" w:eastAsia="zh-CN"/>
                <w14:textFill>
                  <w14:solidFill>
                    <w14:schemeClr w14:val="tx1"/>
                  </w14:solidFill>
                </w14:textFill>
              </w:rPr>
              <w:t>0.11</w:t>
            </w:r>
            <w:r>
              <w:rPr>
                <w:rFonts w:hint="default" w:ascii="Times New Roman" w:hAnsi="Times New Roman" w:cs="Times New Roman"/>
                <w:color w:val="000000" w:themeColor="text1"/>
                <w:sz w:val="24"/>
                <w:szCs w:val="24"/>
                <w:highlight w:val="none"/>
                <w14:textFill>
                  <w14:solidFill>
                    <w14:schemeClr w14:val="tx1"/>
                  </w14:solidFill>
                </w14:textFill>
              </w:rPr>
              <w:t>t/a；</w:t>
            </w:r>
          </w:p>
          <w:p w14:paraId="51BB9D99">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无组织排放到大气中的量为</w:t>
            </w:r>
            <w:r>
              <w:rPr>
                <w:rFonts w:hint="eastAsia" w:cs="Times New Roman"/>
                <w:color w:val="000000" w:themeColor="text1"/>
                <w:sz w:val="24"/>
                <w:szCs w:val="24"/>
                <w:highlight w:val="none"/>
                <w:lang w:val="en-US" w:eastAsia="zh-CN"/>
                <w14:textFill>
                  <w14:solidFill>
                    <w14:schemeClr w14:val="tx1"/>
                  </w14:solidFill>
                </w14:textFill>
              </w:rPr>
              <w:t>0.11</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0.045kg/h</w:t>
            </w:r>
            <w:r>
              <w:rPr>
                <w:rFonts w:hint="default" w:ascii="Times New Roman" w:hAnsi="Times New Roman" w:cs="Times New Roman"/>
                <w:color w:val="000000" w:themeColor="text1"/>
                <w:sz w:val="24"/>
                <w:szCs w:val="24"/>
                <w:highlight w:val="none"/>
                <w14:textFill>
                  <w14:solidFill>
                    <w14:schemeClr w14:val="tx1"/>
                  </w14:solidFill>
                </w14:textFill>
              </w:rPr>
              <w:t>，满足《大气污染物综合排放标准》（GB16297-1996）无组织排放监控浓度限值。</w:t>
            </w:r>
          </w:p>
          <w:p w14:paraId="621B2908">
            <w:pPr>
              <w:keepNext w:val="0"/>
              <w:keepLines w:val="0"/>
              <w:pageBreakBefore w:val="0"/>
              <w:kinsoku/>
              <w:wordWrap/>
              <w:topLinePunct w:val="0"/>
              <w:bidi w:val="0"/>
              <w:snapToGrid/>
              <w:spacing w:beforeLines="0" w:beforeAutospacing="0" w:afterLines="0" w:afterAutospacing="0" w:line="360" w:lineRule="auto"/>
              <w:ind w:firstLine="480" w:firstLineChars="200"/>
              <w:jc w:val="both"/>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2）上料粉尘</w:t>
            </w:r>
          </w:p>
          <w:p w14:paraId="5003D6FD">
            <w:pPr>
              <w:keepNext w:val="0"/>
              <w:keepLines w:val="0"/>
              <w:pageBreakBefore w:val="0"/>
              <w:kinsoku/>
              <w:wordWrap/>
              <w:topLinePunct w:val="0"/>
              <w:bidi w:val="0"/>
              <w:snapToGrid/>
              <w:spacing w:beforeLines="0" w:beforeAutospacing="0" w:afterLines="0" w:afterAutospacing="0" w:line="360" w:lineRule="auto"/>
              <w:ind w:firstLine="480" w:firstLineChars="200"/>
              <w:jc w:val="both"/>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砂石从堆场用装载机运到计量料斗进行上料，再通过搅拌站配套的皮带提升输送至搅拌机主仓，因此砂石料在上料过程会产生粉尘。参考《逸散性工业粉尘控制技术》中“表22-1混凝土分批搅拌厂的逸散尘排放因子”可知，“装砂和粒料入称量斗”过程产污系数为0.01kg/t（装料），装载机年上料</w:t>
            </w:r>
            <w:r>
              <w:rPr>
                <w:rFonts w:hint="eastAsia" w:cs="Times New Roman"/>
                <w:color w:val="000000" w:themeColor="text1"/>
                <w:sz w:val="24"/>
                <w:szCs w:val="24"/>
                <w:highlight w:val="none"/>
                <w:lang w:val="en-US" w:eastAsia="zh-CN"/>
                <w14:textFill>
                  <w14:solidFill>
                    <w14:schemeClr w14:val="tx1"/>
                  </w14:solidFill>
                </w14:textFill>
              </w:rPr>
              <w:t>342131.97</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t，则粉尘产生量</w:t>
            </w:r>
            <w:r>
              <w:rPr>
                <w:rFonts w:hint="eastAsia" w:cs="Times New Roman"/>
                <w:color w:val="000000" w:themeColor="text1"/>
                <w:sz w:val="24"/>
                <w:szCs w:val="24"/>
                <w:highlight w:val="none"/>
                <w:lang w:val="en-US" w:eastAsia="zh-CN"/>
                <w14:textFill>
                  <w14:solidFill>
                    <w14:schemeClr w14:val="tx1"/>
                  </w14:solidFill>
                </w14:textFill>
              </w:rPr>
              <w:t>3.42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t，年工作2400h，产生速率为</w:t>
            </w:r>
            <w:r>
              <w:rPr>
                <w:rFonts w:hint="eastAsia" w:cs="Times New Roman"/>
                <w:color w:val="000000" w:themeColor="text1"/>
                <w:sz w:val="24"/>
                <w:szCs w:val="24"/>
                <w:highlight w:val="none"/>
                <w:lang w:val="en-US" w:eastAsia="zh-CN"/>
                <w14:textFill>
                  <w14:solidFill>
                    <w14:schemeClr w14:val="tx1"/>
                  </w14:solidFill>
                </w14:textFill>
              </w:rPr>
              <w:t>1.425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kg/h。配料斗上方安装喷雾降尘装置，经喷雾降尘治理后，约75%的粉尘会随喷雾沉降至地面，未随喷雾带走的约25%的粉尘形成粉尘废气无组织排放，排放量</w:t>
            </w:r>
            <w:r>
              <w:rPr>
                <w:rFonts w:hint="eastAsia" w:cs="Times New Roman"/>
                <w:color w:val="000000" w:themeColor="text1"/>
                <w:sz w:val="24"/>
                <w:szCs w:val="24"/>
                <w:highlight w:val="none"/>
                <w:lang w:val="en-US" w:eastAsia="zh-CN"/>
                <w14:textFill>
                  <w14:solidFill>
                    <w14:schemeClr w14:val="tx1"/>
                  </w14:solidFill>
                </w14:textFill>
              </w:rPr>
              <w:t>0.356</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0.15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kg/h，满足《大气污染物综合排放标准》（GB16297-1996）无组织排放监控浓度限值。</w:t>
            </w:r>
          </w:p>
          <w:p w14:paraId="7AB3F2C8">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3）搅拌粉尘</w:t>
            </w:r>
          </w:p>
          <w:p w14:paraId="626028FD">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本项目为湿式</w:t>
            </w:r>
            <w:r>
              <w:rPr>
                <w:rFonts w:hint="default" w:ascii="Times New Roman" w:hAnsi="Times New Roman" w:cs="Times New Roman"/>
                <w:color w:val="000000" w:themeColor="text1"/>
                <w:sz w:val="24"/>
                <w:szCs w:val="24"/>
                <w:highlight w:val="none"/>
                <w:lang w:eastAsia="zh-CN"/>
                <w14:textFill>
                  <w14:solidFill>
                    <w14:schemeClr w14:val="tx1"/>
                  </w14:solidFill>
                </w14:textFill>
              </w:rPr>
              <w:t>拌和</w:t>
            </w:r>
            <w:r>
              <w:rPr>
                <w:rFonts w:hint="default" w:ascii="Times New Roman" w:hAnsi="Times New Roman" w:cs="Times New Roman"/>
                <w:color w:val="000000" w:themeColor="text1"/>
                <w:sz w:val="24"/>
                <w:szCs w:val="24"/>
                <w:highlight w:val="none"/>
                <w14:textFill>
                  <w14:solidFill>
                    <w14:schemeClr w14:val="tx1"/>
                  </w14:solidFill>
                </w14:textFill>
              </w:rPr>
              <w:t>，混凝土拌和使用的砂、碎石、粉料在场内输送搅拌过程中有一定的粉尘排放。此工序粉尘产生量参照《排放源统计调查产排污核算方法和系数手册》生态环境部公告2021年第24号中“3021水泥制品制造（含3022砼结构构件制造、3029其他水泥类似制品制造）行业系数手册”混凝土制品（水泥、砂子、石子）物料混合搅拌阶段“工业废气量25.0标立方米/吨-产品，颗粒物0.13千克/吨-产品”。项目物料混合搅拌工序工艺废气量为216000</w:t>
            </w:r>
            <w:r>
              <w:rPr>
                <w:rFonts w:hint="default" w:ascii="Times New Roman" w:hAnsi="Times New Roman" w:cs="Times New Roman"/>
                <w:color w:val="000000" w:themeColor="text1"/>
                <w:sz w:val="24"/>
                <w:szCs w:val="24"/>
                <w:highlight w:val="none"/>
                <w:lang w:eastAsia="zh-CN"/>
                <w14:textFill>
                  <w14:solidFill>
                    <w14:schemeClr w14:val="tx1"/>
                  </w14:solidFill>
                </w14:textFill>
              </w:rPr>
              <w:t>m³</w:t>
            </w:r>
            <w:r>
              <w:rPr>
                <w:rFonts w:hint="default" w:ascii="Times New Roman" w:hAnsi="Times New Roman" w:cs="Times New Roman"/>
                <w:color w:val="000000" w:themeColor="text1"/>
                <w:sz w:val="24"/>
                <w:szCs w:val="24"/>
                <w:highlight w:val="none"/>
                <w14:textFill>
                  <w14:solidFill>
                    <w14:schemeClr w14:val="tx1"/>
                  </w14:solidFill>
                </w14:textFill>
              </w:rPr>
              <w:t>，则此工序颗粒物产生量为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62.4</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年工作2400h</w:t>
            </w:r>
            <w:r>
              <w:rPr>
                <w:rFonts w:hint="default" w:ascii="Times New Roman" w:hAnsi="Times New Roman" w:cs="Times New Roman"/>
                <w:color w:val="000000" w:themeColor="text1"/>
                <w:sz w:val="24"/>
                <w:szCs w:val="24"/>
                <w:highlight w:val="none"/>
                <w14:textFill>
                  <w14:solidFill>
                    <w14:schemeClr w14:val="tx1"/>
                  </w14:solidFill>
                </w14:textFill>
              </w:rPr>
              <w:t>，则产生速率为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26</w:t>
            </w:r>
            <w:r>
              <w:rPr>
                <w:rFonts w:hint="default" w:ascii="Times New Roman" w:hAnsi="Times New Roman" w:cs="Times New Roman"/>
                <w:color w:val="000000" w:themeColor="text1"/>
                <w:sz w:val="24"/>
                <w:szCs w:val="24"/>
                <w:highlight w:val="none"/>
                <w14:textFill>
                  <w14:solidFill>
                    <w14:schemeClr w14:val="tx1"/>
                  </w14:solidFill>
                </w14:textFill>
              </w:rPr>
              <w:t>kg/h。</w:t>
            </w:r>
          </w:p>
          <w:p w14:paraId="7A721143">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治理措施：</w:t>
            </w:r>
            <w:r>
              <w:rPr>
                <w:rFonts w:hint="default" w:ascii="Times New Roman" w:hAnsi="Times New Roman" w:cs="Times New Roman"/>
                <w:color w:val="000000" w:themeColor="text1"/>
                <w:sz w:val="24"/>
                <w:szCs w:val="24"/>
                <w:highlight w:val="none"/>
                <w14:textFill>
                  <w14:solidFill>
                    <w14:schemeClr w14:val="tx1"/>
                  </w14:solidFill>
                </w14:textFill>
              </w:rPr>
              <w:t>收集方式为负压抽风收集，搅拌站有一个补气孔，当引风机工作时，干净空气从补气孔进入，含尘空气被引风机吸入管道后进入配套的脉冲袋式除尘器，处理后在车间自然沉降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，保证</w:t>
            </w:r>
            <w:r>
              <w:rPr>
                <w:rFonts w:hint="default" w:ascii="Times New Roman" w:hAnsi="Times New Roman" w:cs="Times New Roman"/>
                <w:color w:val="000000" w:themeColor="text1"/>
                <w:sz w:val="24"/>
                <w:szCs w:val="24"/>
                <w:highlight w:val="none"/>
                <w14:textFill>
                  <w14:solidFill>
                    <w14:schemeClr w14:val="tx1"/>
                  </w14:solidFill>
                </w14:textFill>
              </w:rPr>
              <w:t>收集效率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color w:val="000000" w:themeColor="text1"/>
                <w:sz w:val="24"/>
                <w:szCs w:val="24"/>
                <w:highlight w:val="none"/>
                <w14:textFill>
                  <w14:solidFill>
                    <w14:schemeClr w14:val="tx1"/>
                  </w14:solidFill>
                </w14:textFill>
              </w:rPr>
              <w:t>%，粉尘经收集后进入</w:t>
            </w:r>
            <w:r>
              <w:rPr>
                <w:rFonts w:hint="default" w:ascii="Times New Roman" w:hAnsi="Times New Roman" w:cs="Times New Roman"/>
                <w:color w:val="000000" w:themeColor="text1"/>
                <w:sz w:val="24"/>
                <w:szCs w:val="24"/>
                <w:highlight w:val="none"/>
                <w:lang w:eastAsia="zh-CN"/>
                <w14:textFill>
                  <w14:solidFill>
                    <w14:schemeClr w14:val="tx1"/>
                  </w14:solidFill>
                </w14:textFill>
              </w:rPr>
              <w:t>脉冲袋式除尘器</w:t>
            </w:r>
            <w:r>
              <w:rPr>
                <w:rFonts w:hint="default" w:ascii="Times New Roman" w:hAnsi="Times New Roman" w:cs="Times New Roman"/>
                <w:color w:val="000000" w:themeColor="text1"/>
                <w:sz w:val="24"/>
                <w:szCs w:val="24"/>
                <w:highlight w:val="none"/>
                <w14:textFill>
                  <w14:solidFill>
                    <w14:schemeClr w14:val="tx1"/>
                  </w14:solidFill>
                </w14:textFill>
              </w:rPr>
              <w:t>，处理效率99%，经除尘器处理后，经15m高排气筒（DA001）高空排放。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年排放量为0.5616t/a，排放速率0.234kg/h，风机设置30000m³/h，排放浓度为7.80mg/m³，满足《四川省水泥工业大气污染物排放标准》（DB51/2864-2021）表1中颗粒物最高允许排放浓度10mg/m³要求。</w:t>
            </w:r>
          </w:p>
          <w:p w14:paraId="66B093F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项目搅拌在喷雾状态下进行，未收集的粉尘</w:t>
            </w:r>
            <w:r>
              <w:rPr>
                <w:rFonts w:hint="default" w:ascii="Times New Roman" w:hAnsi="Times New Roman" w:cs="Times New Roman"/>
                <w:color w:val="000000" w:themeColor="text1"/>
                <w:sz w:val="24"/>
                <w:szCs w:val="24"/>
                <w:highlight w:val="none"/>
                <w14:textFill>
                  <w14:solidFill>
                    <w14:schemeClr w14:val="tx1"/>
                  </w14:solidFill>
                </w14:textFill>
              </w:rPr>
              <w:t>经喷雾降尘治理后，约75%的粉尘会随喷雾沉降至地面，未随喷雾带走的约25%的粉尘形成粉尘废气，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无组织排放</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无组织排放量量为0.028t/a，排放速率0.012kg/h。满足《四川省水泥工业大气污染物排放标准》（DB51/2864--2021）企业边界颗粒物无组织排放限值。</w:t>
            </w:r>
          </w:p>
          <w:p w14:paraId="682BDB2A">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4）筒仓仓顶呼吸孔粉尘</w:t>
            </w:r>
          </w:p>
          <w:p w14:paraId="36369DA3">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原料水泥、粉煤灰均采用筒仓储存，厂区生产车间内设置3座筒仓，位置详见附图5。项目水泥、粉煤灰年用量110000t，水泥、粉煤灰均储存在密闭储料罐内，水泥、粉煤灰由密闭的车辆运输至站内，用气泵打入筒仓，由于受气流冲击，该过程会产生部分粉尘从罐顶气孔排入大气中，筒仓呼吸孔会产生逸散的粉尘，根据《逸散性工业粉尘控制技术》（中国环境科学出版社），粉状料在往筒仓输送的过程中其粉尘产生系数为0.12kg/t。</w:t>
            </w:r>
          </w:p>
          <w:p w14:paraId="220D9E51">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水泥筒仓和2#水泥筒仓年存储水泥原料均为47500t/a，则每个水泥筒仓产生粉尘量为5.70t/a。本项目每个筒仓仓顶呼吸孔自带脉冲滤芯除尘器（处理效率达99.5%），除尘器直接连接呼吸孔，因此收集效率100%，筒仓仓顶产生的粉尘收集处理后排放，排放量0.0570t/a，每天单个筒仓输送粉料时间为2h，年输送时间为600h，则排放速率为0.095kg/h，筒仓风机风量为</w:t>
            </w:r>
            <w:r>
              <w:rPr>
                <w:rFonts w:hint="eastAsia" w:cs="Times New Roman"/>
                <w:color w:val="000000" w:themeColor="text1"/>
                <w:sz w:val="24"/>
                <w:szCs w:val="24"/>
                <w:highlight w:val="none"/>
                <w:lang w:val="en-US" w:eastAsia="zh-CN"/>
                <w14:textFill>
                  <w14:solidFill>
                    <w14:schemeClr w14:val="tx1"/>
                  </w14:solidFill>
                </w14:textFill>
              </w:rPr>
              <w:t>9000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m³/h，排放浓度为6.33mg/m³。因此本项目水泥筒仓粉尘排放满足《四川省水泥工业大气污染物排放标准》（DB51/2864-2021）表1中颗粒物最高允许排放浓度10mg/m³要求。</w:t>
            </w:r>
          </w:p>
          <w:p w14:paraId="738B58AB">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粉煤灰筒仓年存储水泥原料均为15000t/a，则每个水泥筒仓产生粉尘量为1.80t/a。本项目筒仓仓顶呼吸孔自带脉冲滤芯除尘器（处理效率达99.5%），除尘器直接连接呼吸孔，因此收集效率100%，筒仓仓顶产生的粉尘收集处理后排放，排放量0.009t/a，每天单个筒仓输送粉料时间为0.7h，年输送时间为210h，则排放速率为0.043kg/h，筒仓风机风量为</w:t>
            </w:r>
            <w:r>
              <w:rPr>
                <w:rFonts w:hint="eastAsia" w:cs="Times New Roman"/>
                <w:color w:val="000000" w:themeColor="text1"/>
                <w:sz w:val="24"/>
                <w:szCs w:val="24"/>
                <w:highlight w:val="none"/>
                <w:lang w:val="en-US" w:eastAsia="zh-CN"/>
                <w14:textFill>
                  <w14:solidFill>
                    <w14:schemeClr w14:val="tx1"/>
                  </w14:solidFill>
                </w14:textFill>
              </w:rPr>
              <w:t>9000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m³/h，排放浓度为4.8mg/m³。因此本项目粉煤灰筒仓粉尘排放满足《四川省水泥工业大气污染物排放标准》（DB51/2864-2021）表1中颗粒物最高允许排放浓度10mg/m³要求。</w:t>
            </w:r>
          </w:p>
          <w:p w14:paraId="6FEFA3BB">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5）运输扬尘</w:t>
            </w:r>
          </w:p>
          <w:p w14:paraId="32282B86">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在原料及成品运输的过程中会产生一定的扬尘，其产尘强度与路面种类、气候干湿以及汽车行驶速度等因素有关。各原料堆场的地理位置、气候条件、路面种类不同，产生的扬尘量差异也较大。本项目运输过程中会产生道路扬尘，产生量由下式计算：</w:t>
            </w:r>
          </w:p>
          <w:p w14:paraId="0ABAC5AE">
            <w:pPr>
              <w:keepNext w:val="0"/>
              <w:keepLines w:val="0"/>
              <w:pageBreakBefore w:val="0"/>
              <w:kinsoku/>
              <w:wordWrap/>
              <w:topLinePunct w:val="0"/>
              <w:bidi w:val="0"/>
              <w:snapToGrid/>
              <w:spacing w:beforeLines="0" w:beforeAutospacing="0" w:afterLines="0" w:afterAutospacing="0" w:line="360" w:lineRule="auto"/>
              <w:ind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2804795" cy="474980"/>
                  <wp:effectExtent l="0" t="0" r="4445" b="5080"/>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pic:cNvPicPr>
                        </pic:nvPicPr>
                        <pic:blipFill>
                          <a:blip r:embed="rId23"/>
                          <a:stretch>
                            <a:fillRect/>
                          </a:stretch>
                        </pic:blipFill>
                        <pic:spPr>
                          <a:xfrm>
                            <a:off x="0" y="0"/>
                            <a:ext cx="2804795" cy="474980"/>
                          </a:xfrm>
                          <a:prstGeom prst="rect">
                            <a:avLst/>
                          </a:prstGeom>
                          <a:noFill/>
                          <a:ln>
                            <a:noFill/>
                          </a:ln>
                        </pic:spPr>
                      </pic:pic>
                    </a:graphicData>
                  </a:graphic>
                </wp:inline>
              </w:drawing>
            </w:r>
          </w:p>
          <w:p w14:paraId="5EEF500E">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式中：Qi—每辆汽车行驶粉尘量（kg/km辆）；</w:t>
            </w:r>
          </w:p>
          <w:p w14:paraId="578AF535">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V—汽车速度（km/h），本次取10；</w:t>
            </w:r>
          </w:p>
          <w:p w14:paraId="2D8F02EB">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W—车辆载重（t/辆），本次水泥粉煤灰运输车辆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取10、</w:t>
            </w:r>
            <w:r>
              <w:rPr>
                <w:rFonts w:hint="default" w:ascii="Times New Roman" w:hAnsi="Times New Roman" w:cs="Times New Roman"/>
                <w:color w:val="000000" w:themeColor="text1"/>
                <w:sz w:val="24"/>
                <w:szCs w:val="24"/>
                <w:highlight w:val="none"/>
                <w14:textFill>
                  <w14:solidFill>
                    <w14:schemeClr w14:val="tx1"/>
                  </w14:solidFill>
                </w14:textFill>
              </w:rPr>
              <w:t>砂石原料车辆取</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30、成品运输车辆取30</w:t>
            </w:r>
            <w:r>
              <w:rPr>
                <w:rFonts w:hint="default" w:ascii="Times New Roman" w:hAnsi="Times New Roman" w:cs="Times New Roman"/>
                <w:color w:val="000000" w:themeColor="text1"/>
                <w:sz w:val="24"/>
                <w:szCs w:val="24"/>
                <w:highlight w:val="none"/>
                <w14:textFill>
                  <w14:solidFill>
                    <w14:schemeClr w14:val="tx1"/>
                  </w14:solidFill>
                </w14:textFill>
              </w:rPr>
              <w:t>；</w:t>
            </w:r>
          </w:p>
          <w:p w14:paraId="63DFB58E">
            <w:pPr>
              <w:keepNext w:val="0"/>
              <w:keepLines w:val="0"/>
              <w:pageBreakBefore w:val="0"/>
              <w:kinsoku/>
              <w:wordWrap/>
              <w:topLinePunct w:val="0"/>
              <w:bidi w:val="0"/>
              <w:snapToGrid/>
              <w:spacing w:beforeLines="0" w:beforeAutospacing="0" w:afterLines="0" w:afterAutospacing="0" w:line="360" w:lineRule="auto"/>
              <w:ind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P—道路表面粉尘量（kg/</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），本次取0.18。</w:t>
            </w:r>
          </w:p>
          <w:p w14:paraId="45DBCC6C">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经计算，每辆水泥粉煤灰运输车辆行驶粉尘产生量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0.16</w:t>
            </w:r>
            <w:r>
              <w:rPr>
                <w:rFonts w:hint="default" w:ascii="Times New Roman" w:hAnsi="Times New Roman" w:cs="Times New Roman"/>
                <w:color w:val="000000" w:themeColor="text1"/>
                <w:sz w:val="24"/>
                <w:szCs w:val="24"/>
                <w:highlight w:val="none"/>
                <w14:textFill>
                  <w14:solidFill>
                    <w14:schemeClr w14:val="tx1"/>
                  </w14:solidFill>
                </w14:textFill>
              </w:rPr>
              <w:t>kg/km辆</w:t>
            </w:r>
            <w:r>
              <w:rPr>
                <w:rFonts w:hint="default" w:ascii="Times New Roman" w:hAnsi="Times New Roman" w:cs="Times New Roman"/>
                <w:color w:val="000000" w:themeColor="text1"/>
                <w:sz w:val="24"/>
                <w:szCs w:val="24"/>
                <w:highlight w:val="none"/>
                <w:lang w:eastAsia="zh-CN"/>
                <w14:textFill>
                  <w14:solidFill>
                    <w14:schemeClr w14:val="tx1"/>
                  </w14:solidFill>
                </w14:textFill>
              </w:rPr>
              <w:t>，每辆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砂石</w:t>
            </w:r>
            <w:r>
              <w:rPr>
                <w:rFonts w:hint="default" w:ascii="Times New Roman" w:hAnsi="Times New Roman" w:cs="Times New Roman"/>
                <w:color w:val="000000" w:themeColor="text1"/>
                <w:sz w:val="24"/>
                <w:szCs w:val="24"/>
                <w:highlight w:val="none"/>
                <w:lang w:eastAsia="zh-CN"/>
                <w14:textFill>
                  <w14:solidFill>
                    <w14:schemeClr w14:val="tx1"/>
                  </w14:solidFill>
                </w14:textFill>
              </w:rPr>
              <w:t>运输车辆行驶粉尘产生量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0.49</w:t>
            </w:r>
            <w:r>
              <w:rPr>
                <w:rFonts w:hint="default" w:ascii="Times New Roman" w:hAnsi="Times New Roman" w:cs="Times New Roman"/>
                <w:color w:val="000000" w:themeColor="text1"/>
                <w:sz w:val="24"/>
                <w:szCs w:val="24"/>
                <w:highlight w:val="none"/>
                <w:lang w:eastAsia="zh-CN"/>
                <w14:textFill>
                  <w14:solidFill>
                    <w14:schemeClr w14:val="tx1"/>
                  </w14:solidFill>
                </w14:textFill>
              </w:rPr>
              <w:t>kg/km辆，每辆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成品</w:t>
            </w:r>
            <w:r>
              <w:rPr>
                <w:rFonts w:hint="default" w:ascii="Times New Roman" w:hAnsi="Times New Roman" w:cs="Times New Roman"/>
                <w:color w:val="000000" w:themeColor="text1"/>
                <w:sz w:val="24"/>
                <w:szCs w:val="24"/>
                <w:highlight w:val="none"/>
                <w:lang w:eastAsia="zh-CN"/>
                <w14:textFill>
                  <w14:solidFill>
                    <w14:schemeClr w14:val="tx1"/>
                  </w14:solidFill>
                </w14:textFill>
              </w:rPr>
              <w:t>运输车辆行驶粉尘产生量0.49kg/km辆，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根据前文车辆清洗用水章节计算，水泥粉煤灰运输车辆每天进出2趟，砂石运输车辆每天进出2趟，成品运输车辆每天进出2趟，</w:t>
            </w:r>
          </w:p>
          <w:p w14:paraId="7C55D5CB">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工业场地的运输道路长度约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则水泥粉煤灰运输车辆</w:t>
            </w:r>
            <w:r>
              <w:rPr>
                <w:rFonts w:hint="default" w:ascii="Times New Roman" w:hAnsi="Times New Roman" w:cs="Times New Roman"/>
                <w:color w:val="000000" w:themeColor="text1"/>
                <w:sz w:val="24"/>
                <w:szCs w:val="24"/>
                <w:highlight w:val="none"/>
                <w14:textFill>
                  <w14:solidFill>
                    <w14:schemeClr w14:val="tx1"/>
                  </w14:solidFill>
                </w14:textFill>
              </w:rPr>
              <w:t>道路扬尘产生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速率</w:t>
            </w:r>
            <w:r>
              <w:rPr>
                <w:rFonts w:hint="default" w:ascii="Times New Roman" w:hAnsi="Times New Roman" w:cs="Times New Roman"/>
                <w:color w:val="000000" w:themeColor="text1"/>
                <w:sz w:val="24"/>
                <w:szCs w:val="24"/>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0.024</w:t>
            </w:r>
            <w:r>
              <w:rPr>
                <w:rFonts w:hint="default" w:ascii="Times New Roman" w:hAnsi="Times New Roman" w:cs="Times New Roman"/>
                <w:color w:val="000000" w:themeColor="text1"/>
                <w:sz w:val="24"/>
                <w:szCs w:val="24"/>
                <w:highlight w:val="none"/>
                <w14:textFill>
                  <w14:solidFill>
                    <w14:schemeClr w14:val="tx1"/>
                  </w14:solidFill>
                </w14:textFill>
              </w:rPr>
              <w:t>kg/d，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产生量0.0072</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砂石运输车辆道路扬尘产生速率为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0.074</w:t>
            </w:r>
            <w:r>
              <w:rPr>
                <w:rFonts w:hint="default" w:ascii="Times New Roman" w:hAnsi="Times New Roman" w:cs="Times New Roman"/>
                <w:color w:val="000000" w:themeColor="text1"/>
                <w:sz w:val="24"/>
                <w:szCs w:val="24"/>
                <w:highlight w:val="none"/>
                <w14:textFill>
                  <w14:solidFill>
                    <w14:schemeClr w14:val="tx1"/>
                  </w14:solidFill>
                </w14:textFill>
              </w:rPr>
              <w:t>kg/d，产生量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0.0222</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水泥粉煤灰运输车辆道路扬尘产生速率为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0.074</w:t>
            </w:r>
            <w:r>
              <w:rPr>
                <w:rFonts w:hint="default" w:ascii="Times New Roman" w:hAnsi="Times New Roman" w:cs="Times New Roman"/>
                <w:color w:val="000000" w:themeColor="text1"/>
                <w:sz w:val="24"/>
                <w:szCs w:val="24"/>
                <w:highlight w:val="none"/>
                <w14:textFill>
                  <w14:solidFill>
                    <w14:schemeClr w14:val="tx1"/>
                  </w14:solidFill>
                </w14:textFill>
              </w:rPr>
              <w:t>kg/d，产生量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0.0222</w:t>
            </w:r>
            <w:r>
              <w:rPr>
                <w:rFonts w:hint="default" w:ascii="Times New Roman" w:hAnsi="Times New Roman" w:cs="Times New Roman"/>
                <w:color w:val="000000" w:themeColor="text1"/>
                <w:sz w:val="24"/>
                <w:szCs w:val="24"/>
                <w:highlight w:val="none"/>
                <w14:textFill>
                  <w14:solidFill>
                    <w14:schemeClr w14:val="tx1"/>
                  </w14:solidFill>
                </w14:textFill>
              </w:rPr>
              <w:t>t/a。</w:t>
            </w:r>
          </w:p>
          <w:p w14:paraId="3C616F5A">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运输扬尘</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合计产生量0.0516t/a，产生速率为0.172kg/d。</w:t>
            </w:r>
          </w:p>
          <w:p w14:paraId="295D3C6C">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治理措施：</w:t>
            </w:r>
            <w:r>
              <w:rPr>
                <w:rFonts w:hint="default" w:ascii="Times New Roman" w:hAnsi="Times New Roman" w:cs="Times New Roman"/>
                <w:color w:val="000000" w:themeColor="text1"/>
                <w:sz w:val="24"/>
                <w:szCs w:val="24"/>
                <w:highlight w:val="none"/>
                <w14:textFill>
                  <w14:solidFill>
                    <w14:schemeClr w14:val="tx1"/>
                  </w14:solidFill>
                </w14:textFill>
              </w:rPr>
              <w:t>为了减轻交通运输扬尘对周围环境的影响，环评要求采用洒水车对道路洒水，在风季时适当增加洒水次数，保持道路路面湿润，减少扬尘。经以上措施处理后，抑尘效率可达80%以上，则运输扬尘排放量为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0.0103</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0.0043kg/h</w:t>
            </w:r>
            <w:r>
              <w:rPr>
                <w:rFonts w:hint="default" w:ascii="Times New Roman" w:hAnsi="Times New Roman" w:cs="Times New Roman"/>
                <w:color w:val="000000" w:themeColor="text1"/>
                <w:sz w:val="24"/>
                <w:szCs w:val="24"/>
                <w:highlight w:val="none"/>
                <w14:textFill>
                  <w14:solidFill>
                    <w14:schemeClr w14:val="tx1"/>
                  </w14:solidFill>
                </w14:textFill>
              </w:rPr>
              <w:t>，为无组织排放</w:t>
            </w:r>
            <w:r>
              <w:rPr>
                <w:rFonts w:hint="default" w:ascii="Times New Roman" w:hAnsi="Times New Roman" w:cs="Times New Roman"/>
                <w:color w:val="000000" w:themeColor="text1"/>
                <w:sz w:val="24"/>
                <w:szCs w:val="24"/>
                <w:highlight w:val="none"/>
                <w:lang w:eastAsia="zh-CN"/>
                <w14:textFill>
                  <w14:solidFill>
                    <w14:schemeClr w14:val="tx1"/>
                  </w14:solidFill>
                </w14:textFill>
              </w:rPr>
              <w:t>，满足《大气污染物综合排放标准》（GB16297-1996）无组织排放监控浓度限值。</w:t>
            </w:r>
          </w:p>
          <w:p w14:paraId="172FFE5A">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）汽车运输尾气</w:t>
            </w:r>
          </w:p>
          <w:p w14:paraId="1E18608C">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本项目产品运输等过程中，燃油机械以及车辆运行都将产生燃油废气，主要组分为NOx、CO、HC等，场地地势开阔，扩散能力较强，加之尾气排放量不大，经扩散后对区域大气环境基本无影响。</w:t>
            </w:r>
          </w:p>
          <w:p w14:paraId="30D802B7">
            <w:pPr>
              <w:widowControl/>
              <w:spacing w:beforeLines="0" w:afterLines="0" w:line="360" w:lineRule="auto"/>
              <w:ind w:firstLine="480" w:firstLineChars="200"/>
              <w:textAlignment w:val="baseline"/>
              <w:rPr>
                <w:rFonts w:hint="default" w:ascii="Times New Roman" w:hAnsi="Times New Roman" w:cs="Times New Roman"/>
                <w:color w:val="000000" w:themeColor="text1"/>
                <w:kern w:val="2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kern w:val="21"/>
                <w:sz w:val="24"/>
                <w:szCs w:val="24"/>
                <w:highlight w:val="none"/>
                <w14:textFill>
                  <w14:solidFill>
                    <w14:schemeClr w14:val="tx1"/>
                  </w14:solidFill>
                </w14:textFill>
              </w:rPr>
              <w:t>）</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食堂</w:t>
            </w:r>
            <w:r>
              <w:rPr>
                <w:rFonts w:hint="default" w:ascii="Times New Roman" w:hAnsi="Times New Roman" w:cs="Times New Roman"/>
                <w:color w:val="000000" w:themeColor="text1"/>
                <w:kern w:val="21"/>
                <w:sz w:val="24"/>
                <w:szCs w:val="24"/>
                <w:highlight w:val="none"/>
                <w14:textFill>
                  <w14:solidFill>
                    <w14:schemeClr w14:val="tx1"/>
                  </w14:solidFill>
                </w14:textFill>
              </w:rPr>
              <w:t>油烟</w:t>
            </w:r>
          </w:p>
          <w:p w14:paraId="2E570202">
            <w:pPr>
              <w:spacing w:beforeLines="0" w:afterLines="0" w:line="360" w:lineRule="auto"/>
              <w:ind w:firstLine="480" w:firstLineChars="200"/>
              <w:rPr>
                <w:rFonts w:ascii="Times New Roman" w:hAnsi="Times New Roman" w:cs="Times New Roman"/>
                <w:color w:val="000000" w:themeColor="text1"/>
                <w:sz w:val="24"/>
                <w:szCs w:val="24"/>
                <w:highlight w:val="none"/>
                <w:lang w:bidi="zh-CN"/>
                <w14:textFill>
                  <w14:solidFill>
                    <w14:schemeClr w14:val="tx1"/>
                  </w14:solidFill>
                </w14:textFill>
              </w:rPr>
            </w:pPr>
            <w:r>
              <w:rPr>
                <w:rFonts w:ascii="Times New Roman" w:hAnsi="Times New Roman" w:cs="Times New Roman"/>
                <w:color w:val="000000" w:themeColor="text1"/>
                <w:sz w:val="24"/>
                <w:szCs w:val="24"/>
                <w:highlight w:val="none"/>
                <w:lang w:bidi="zh-CN"/>
                <w14:textFill>
                  <w14:solidFill>
                    <w14:schemeClr w14:val="tx1"/>
                  </w14:solidFill>
                </w14:textFill>
              </w:rPr>
              <w:t>本项目的厨房油烟主要为食堂厨房烹饪产生，本项目食堂就餐人数约</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6</w:t>
            </w:r>
            <w:r>
              <w:rPr>
                <w:rFonts w:ascii="Times New Roman" w:hAnsi="Times New Roman" w:cs="Times New Roman"/>
                <w:color w:val="000000" w:themeColor="text1"/>
                <w:sz w:val="24"/>
                <w:szCs w:val="24"/>
                <w:highlight w:val="none"/>
                <w:lang w:bidi="zh-CN"/>
                <w14:textFill>
                  <w14:solidFill>
                    <w14:schemeClr w14:val="tx1"/>
                  </w14:solidFill>
                </w14:textFill>
              </w:rPr>
              <w:t>人，人均日食用油用量按30g/人·d计，因此年耗油量为</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0.054</w:t>
            </w:r>
            <w:r>
              <w:rPr>
                <w:rFonts w:ascii="Times New Roman" w:hAnsi="Times New Roman" w:cs="Times New Roman"/>
                <w:color w:val="000000" w:themeColor="text1"/>
                <w:sz w:val="24"/>
                <w:szCs w:val="24"/>
                <w:highlight w:val="none"/>
                <w:lang w:bidi="zh-CN"/>
                <w14:textFill>
                  <w14:solidFill>
                    <w14:schemeClr w14:val="tx1"/>
                  </w14:solidFill>
                </w14:textFill>
              </w:rPr>
              <w:t>t/a（按年工作</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300</w:t>
            </w:r>
            <w:r>
              <w:rPr>
                <w:rFonts w:ascii="Times New Roman" w:hAnsi="Times New Roman" w:cs="Times New Roman"/>
                <w:color w:val="000000" w:themeColor="text1"/>
                <w:sz w:val="24"/>
                <w:szCs w:val="24"/>
                <w:highlight w:val="none"/>
                <w:lang w:bidi="zh-CN"/>
                <w14:textFill>
                  <w14:solidFill>
                    <w14:schemeClr w14:val="tx1"/>
                  </w14:solidFill>
                </w14:textFill>
              </w:rPr>
              <w:t>d计）。一般油烟挥发量占总耗油量的2~4%，平均为2.83%，油烟产生量为</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1.53</w:t>
            </w:r>
            <w:r>
              <w:rPr>
                <w:rFonts w:ascii="Times New Roman" w:hAnsi="Times New Roman" w:cs="Times New Roman"/>
                <w:color w:val="000000" w:themeColor="text1"/>
                <w:sz w:val="24"/>
                <w:szCs w:val="24"/>
                <w:highlight w:val="none"/>
                <w:lang w:bidi="zh-CN"/>
                <w14:textFill>
                  <w14:solidFill>
                    <w14:schemeClr w14:val="tx1"/>
                  </w14:solidFill>
                </w14:textFill>
              </w:rPr>
              <w:t>kg/a。根据《饮食</w:t>
            </w:r>
            <w:r>
              <w:rPr>
                <w:rFonts w:hint="default" w:ascii="Times New Roman" w:hAnsi="Times New Roman" w:cs="Times New Roman"/>
                <w:color w:val="000000" w:themeColor="text1"/>
                <w:sz w:val="24"/>
                <w:szCs w:val="24"/>
                <w:highlight w:val="none"/>
                <w:lang w:bidi="zh-CN"/>
                <w14:textFill>
                  <w14:solidFill>
                    <w14:schemeClr w14:val="tx1"/>
                  </w14:solidFill>
                </w14:textFill>
              </w:rPr>
              <w:t>业</w:t>
            </w:r>
            <w:r>
              <w:rPr>
                <w:rFonts w:ascii="Times New Roman" w:hAnsi="Times New Roman" w:cs="Times New Roman"/>
                <w:color w:val="000000" w:themeColor="text1"/>
                <w:sz w:val="24"/>
                <w:szCs w:val="24"/>
                <w:highlight w:val="none"/>
                <w:lang w:bidi="zh-CN"/>
                <w14:textFill>
                  <w14:solidFill>
                    <w14:schemeClr w14:val="tx1"/>
                  </w14:solidFill>
                </w14:textFill>
              </w:rPr>
              <w:t>油烟排放标准</w:t>
            </w:r>
            <w:r>
              <w:rPr>
                <w:rFonts w:hint="default" w:ascii="Times New Roman" w:hAnsi="Times New Roman" w:cs="Times New Roman"/>
                <w:color w:val="000000" w:themeColor="text1"/>
                <w:sz w:val="24"/>
                <w:szCs w:val="24"/>
                <w:highlight w:val="none"/>
                <w:lang w:bidi="zh-CN"/>
                <w14:textFill>
                  <w14:solidFill>
                    <w14:schemeClr w14:val="tx1"/>
                  </w14:solidFill>
                </w14:textFill>
              </w:rPr>
              <w:t>（试行）</w:t>
            </w:r>
            <w:r>
              <w:rPr>
                <w:rFonts w:ascii="Times New Roman" w:hAnsi="Times New Roman" w:cs="Times New Roman"/>
                <w:color w:val="000000" w:themeColor="text1"/>
                <w:sz w:val="24"/>
                <w:szCs w:val="24"/>
                <w:highlight w:val="none"/>
                <w:lang w:bidi="zh-CN"/>
                <w14:textFill>
                  <w14:solidFill>
                    <w14:schemeClr w14:val="tx1"/>
                  </w14:solidFill>
                </w14:textFill>
              </w:rPr>
              <w:t>》（GB18483-2001），项目油烟去除率应≥60%。项目每日食堂使用时间约为</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3</w:t>
            </w:r>
            <w:r>
              <w:rPr>
                <w:rFonts w:ascii="Times New Roman" w:hAnsi="Times New Roman" w:cs="Times New Roman"/>
                <w:color w:val="000000" w:themeColor="text1"/>
                <w:sz w:val="24"/>
                <w:szCs w:val="24"/>
                <w:highlight w:val="none"/>
                <w:lang w:bidi="zh-CN"/>
                <w14:textFill>
                  <w14:solidFill>
                    <w14:schemeClr w14:val="tx1"/>
                  </w14:solidFill>
                </w14:textFill>
              </w:rPr>
              <w:t>h，食堂</w:t>
            </w:r>
            <w:r>
              <w:rPr>
                <w:rFonts w:hint="default" w:ascii="Times New Roman" w:hAnsi="Times New Roman" w:cs="Times New Roman"/>
                <w:color w:val="000000" w:themeColor="text1"/>
                <w:sz w:val="24"/>
                <w:szCs w:val="24"/>
                <w:highlight w:val="none"/>
                <w:lang w:bidi="zh-CN"/>
                <w14:textFill>
                  <w14:solidFill>
                    <w14:schemeClr w14:val="tx1"/>
                  </w14:solidFill>
                </w14:textFill>
              </w:rPr>
              <w:t>油烟净化器</w:t>
            </w:r>
            <w:r>
              <w:rPr>
                <w:rFonts w:ascii="Times New Roman" w:hAnsi="Times New Roman" w:cs="Times New Roman"/>
                <w:color w:val="000000" w:themeColor="text1"/>
                <w:sz w:val="24"/>
                <w:szCs w:val="24"/>
                <w:highlight w:val="none"/>
                <w:lang w:bidi="zh-CN"/>
                <w14:textFill>
                  <w14:solidFill>
                    <w14:schemeClr w14:val="tx1"/>
                  </w14:solidFill>
                </w14:textFill>
              </w:rPr>
              <w:t>风量设计为</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1</w:t>
            </w:r>
            <w:r>
              <w:rPr>
                <w:rFonts w:ascii="Times New Roman" w:hAnsi="Times New Roman" w:cs="Times New Roman"/>
                <w:color w:val="000000" w:themeColor="text1"/>
                <w:sz w:val="24"/>
                <w:szCs w:val="24"/>
                <w:highlight w:val="none"/>
                <w:lang w:bidi="zh-CN"/>
                <w14:textFill>
                  <w14:solidFill>
                    <w14:schemeClr w14:val="tx1"/>
                  </w14:solidFill>
                </w14:textFill>
              </w:rPr>
              <w:t>000</w:t>
            </w:r>
            <w:r>
              <w:rPr>
                <w:rFonts w:hint="default" w:ascii="Times New Roman" w:hAnsi="Times New Roman" w:cs="Times New Roman"/>
                <w:color w:val="000000" w:themeColor="text1"/>
                <w:sz w:val="24"/>
                <w:szCs w:val="24"/>
                <w:highlight w:val="none"/>
                <w:lang w:bidi="zh-CN"/>
                <w14:textFill>
                  <w14:solidFill>
                    <w14:schemeClr w14:val="tx1"/>
                  </w14:solidFill>
                </w14:textFill>
              </w:rPr>
              <w:t>m³</w:t>
            </w:r>
            <w:r>
              <w:rPr>
                <w:rFonts w:ascii="Times New Roman" w:hAnsi="Times New Roman" w:cs="Times New Roman"/>
                <w:color w:val="000000" w:themeColor="text1"/>
                <w:sz w:val="24"/>
                <w:szCs w:val="24"/>
                <w:highlight w:val="none"/>
                <w:lang w:bidi="zh-CN"/>
                <w14:textFill>
                  <w14:solidFill>
                    <w14:schemeClr w14:val="tx1"/>
                  </w14:solidFill>
                </w14:textFill>
              </w:rPr>
              <w:t>/h.本项目产生的油烟拟采用</w:t>
            </w:r>
            <w:r>
              <w:rPr>
                <w:rFonts w:hint="default" w:ascii="Times New Roman" w:hAnsi="Times New Roman" w:cs="Times New Roman"/>
                <w:color w:val="000000" w:themeColor="text1"/>
                <w:sz w:val="24"/>
                <w:szCs w:val="24"/>
                <w:highlight w:val="none"/>
                <w:lang w:bidi="zh-CN"/>
                <w14:textFill>
                  <w14:solidFill>
                    <w14:schemeClr w14:val="tx1"/>
                  </w14:solidFill>
                </w14:textFill>
              </w:rPr>
              <w:t>60</w:t>
            </w:r>
            <w:r>
              <w:rPr>
                <w:rFonts w:ascii="Times New Roman" w:hAnsi="Times New Roman" w:cs="Times New Roman"/>
                <w:color w:val="000000" w:themeColor="text1"/>
                <w:sz w:val="24"/>
                <w:szCs w:val="24"/>
                <w:highlight w:val="none"/>
                <w:lang w:bidi="zh-CN"/>
                <w14:textFill>
                  <w14:solidFill>
                    <w14:schemeClr w14:val="tx1"/>
                  </w14:solidFill>
                </w14:textFill>
              </w:rPr>
              <w:t>%清除效率的</w:t>
            </w:r>
            <w:r>
              <w:rPr>
                <w:rFonts w:hint="default" w:ascii="Times New Roman" w:hAnsi="Times New Roman" w:cs="Times New Roman"/>
                <w:color w:val="000000" w:themeColor="text1"/>
                <w:sz w:val="24"/>
                <w:szCs w:val="24"/>
                <w:highlight w:val="none"/>
                <w:lang w:bidi="zh-CN"/>
                <w14:textFill>
                  <w14:solidFill>
                    <w14:schemeClr w14:val="tx1"/>
                  </w14:solidFill>
                </w14:textFill>
              </w:rPr>
              <w:t>静电油烟净化器</w:t>
            </w:r>
            <w:r>
              <w:rPr>
                <w:rFonts w:ascii="Times New Roman" w:hAnsi="Times New Roman" w:cs="Times New Roman"/>
                <w:color w:val="000000" w:themeColor="text1"/>
                <w:sz w:val="24"/>
                <w:szCs w:val="24"/>
                <w:highlight w:val="none"/>
                <w:lang w:bidi="zh-CN"/>
                <w14:textFill>
                  <w14:solidFill>
                    <w14:schemeClr w14:val="tx1"/>
                  </w14:solidFill>
                </w14:textFill>
              </w:rPr>
              <w:t>处置后，引至</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楼顶</w:t>
            </w:r>
            <w:r>
              <w:rPr>
                <w:rFonts w:ascii="Times New Roman" w:hAnsi="Times New Roman" w:cs="Times New Roman"/>
                <w:color w:val="000000" w:themeColor="text1"/>
                <w:sz w:val="24"/>
                <w:szCs w:val="24"/>
                <w:highlight w:val="none"/>
                <w:lang w:bidi="zh-CN"/>
                <w14:textFill>
                  <w14:solidFill>
                    <w14:schemeClr w14:val="tx1"/>
                  </w14:solidFill>
                </w14:textFill>
              </w:rPr>
              <w:t>达标排放（＜2.0mg/</w:t>
            </w:r>
            <w:r>
              <w:rPr>
                <w:rFonts w:hint="default" w:ascii="Times New Roman" w:hAnsi="Times New Roman" w:cs="Times New Roman"/>
                <w:color w:val="000000" w:themeColor="text1"/>
                <w:sz w:val="24"/>
                <w:szCs w:val="24"/>
                <w:highlight w:val="none"/>
                <w:lang w:bidi="zh-CN"/>
                <w14:textFill>
                  <w14:solidFill>
                    <w14:schemeClr w14:val="tx1"/>
                  </w14:solidFill>
                </w14:textFill>
              </w:rPr>
              <w:t>m³</w:t>
            </w:r>
            <w:r>
              <w:rPr>
                <w:rFonts w:ascii="Times New Roman" w:hAnsi="Times New Roman" w:cs="Times New Roman"/>
                <w:color w:val="000000" w:themeColor="text1"/>
                <w:sz w:val="24"/>
                <w:szCs w:val="24"/>
                <w:highlight w:val="none"/>
                <w:lang w:bidi="zh-CN"/>
                <w14:textFill>
                  <w14:solidFill>
                    <w14:schemeClr w14:val="tx1"/>
                  </w14:solidFill>
                </w14:textFill>
              </w:rPr>
              <w:t>）。故食堂油烟产生及排放情况见下表：</w:t>
            </w:r>
          </w:p>
          <w:p w14:paraId="4EC385D9">
            <w:pPr>
              <w:spacing w:beforeLines="0" w:afterLines="0"/>
              <w:jc w:val="center"/>
              <w:rPr>
                <w:rFonts w:ascii="Times New Roman" w:hAnsi="Times New Roman" w:cs="Times New Roman"/>
                <w:b/>
                <w:bCs/>
                <w:color w:val="000000" w:themeColor="text1"/>
                <w:sz w:val="24"/>
                <w:szCs w:val="24"/>
                <w:highlight w:val="none"/>
                <w:lang w:val="zh-CN" w:bidi="zh-CN"/>
                <w14:textFill>
                  <w14:solidFill>
                    <w14:schemeClr w14:val="tx1"/>
                  </w14:solidFill>
                </w14:textFill>
              </w:rPr>
            </w:pPr>
            <w:r>
              <w:rPr>
                <w:rFonts w:ascii="Times New Roman" w:hAnsi="Times New Roman" w:cs="Times New Roman"/>
                <w:b/>
                <w:bCs/>
                <w:color w:val="000000" w:themeColor="text1"/>
                <w:sz w:val="24"/>
                <w:szCs w:val="24"/>
                <w:highlight w:val="none"/>
                <w:lang w:val="zh-CN" w:bidi="zh-CN"/>
                <w14:textFill>
                  <w14:solidFill>
                    <w14:schemeClr w14:val="tx1"/>
                  </w14:solidFill>
                </w14:textFill>
              </w:rPr>
              <w:t>表4-</w:t>
            </w:r>
            <w:r>
              <w:rPr>
                <w:rFonts w:hint="default" w:ascii="Times New Roman" w:hAnsi="Times New Roman" w:cs="Times New Roman"/>
                <w:b/>
                <w:bCs/>
                <w:color w:val="000000" w:themeColor="text1"/>
                <w:sz w:val="24"/>
                <w:szCs w:val="24"/>
                <w:highlight w:val="none"/>
                <w:lang w:val="en-US" w:bidi="zh-CN"/>
                <w14:textFill>
                  <w14:solidFill>
                    <w14:schemeClr w14:val="tx1"/>
                  </w14:solidFill>
                </w14:textFill>
              </w:rPr>
              <w:t xml:space="preserve">1  </w:t>
            </w:r>
            <w:r>
              <w:rPr>
                <w:rFonts w:ascii="Times New Roman" w:hAnsi="Times New Roman" w:cs="Times New Roman"/>
                <w:b/>
                <w:bCs/>
                <w:color w:val="000000" w:themeColor="text1"/>
                <w:sz w:val="24"/>
                <w:szCs w:val="24"/>
                <w:highlight w:val="none"/>
                <w:lang w:val="zh-CN" w:bidi="zh-CN"/>
                <w14:textFill>
                  <w14:solidFill>
                    <w14:schemeClr w14:val="tx1"/>
                  </w14:solidFill>
                </w14:textFill>
              </w:rPr>
              <w:t>食堂油烟产生及排放情况</w:t>
            </w:r>
          </w:p>
          <w:tbl>
            <w:tblPr>
              <w:tblStyle w:val="35"/>
              <w:tblW w:w="4999"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1"/>
              <w:gridCol w:w="991"/>
              <w:gridCol w:w="991"/>
              <w:gridCol w:w="996"/>
              <w:gridCol w:w="992"/>
              <w:gridCol w:w="992"/>
              <w:gridCol w:w="992"/>
              <w:gridCol w:w="992"/>
            </w:tblGrid>
            <w:tr w14:paraId="6380F899">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pct"/>
                  <w:vMerge w:val="restart"/>
                  <w:tcBorders>
                    <w:tl2br w:val="nil"/>
                    <w:tr2bl w:val="nil"/>
                  </w:tcBorders>
                  <w:shd w:val="clear" w:color="auto" w:fill="auto"/>
                  <w:noWrap w:val="0"/>
                  <w:vAlign w:val="center"/>
                </w:tcPr>
                <w:p w14:paraId="2137ADC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污染物</w:t>
                  </w:r>
                </w:p>
              </w:tc>
              <w:tc>
                <w:tcPr>
                  <w:tcW w:w="1875" w:type="pct"/>
                  <w:gridSpan w:val="3"/>
                  <w:tcBorders>
                    <w:tl2br w:val="nil"/>
                    <w:tr2bl w:val="nil"/>
                  </w:tcBorders>
                  <w:shd w:val="clear" w:color="auto" w:fill="auto"/>
                  <w:noWrap w:val="0"/>
                  <w:vAlign w:val="center"/>
                </w:tcPr>
                <w:p w14:paraId="6E05890B">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产生情况</w:t>
                  </w:r>
                </w:p>
              </w:tc>
              <w:tc>
                <w:tcPr>
                  <w:tcW w:w="1875" w:type="pct"/>
                  <w:gridSpan w:val="3"/>
                  <w:tcBorders>
                    <w:tl2br w:val="nil"/>
                    <w:tr2bl w:val="nil"/>
                  </w:tcBorders>
                  <w:shd w:val="clear" w:color="auto" w:fill="auto"/>
                  <w:noWrap w:val="0"/>
                  <w:vAlign w:val="center"/>
                </w:tcPr>
                <w:p w14:paraId="5D2B0E1E">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排放情况</w:t>
                  </w:r>
                </w:p>
              </w:tc>
              <w:tc>
                <w:tcPr>
                  <w:tcW w:w="625" w:type="pct"/>
                  <w:vMerge w:val="restart"/>
                  <w:tcBorders>
                    <w:tl2br w:val="nil"/>
                    <w:tr2bl w:val="nil"/>
                  </w:tcBorders>
                  <w:shd w:val="clear" w:color="auto" w:fill="auto"/>
                  <w:noWrap w:val="0"/>
                  <w:vAlign w:val="center"/>
                </w:tcPr>
                <w:p w14:paraId="57529DD5">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标准浓度mg/</w:t>
                  </w:r>
                  <w:r>
                    <w:rPr>
                      <w:rFonts w:hint="default" w:ascii="Times New Roman" w:hAnsi="Times New Roman" w:cs="Times New Roman"/>
                      <w:b/>
                      <w:bCs/>
                      <w:color w:val="000000" w:themeColor="text1"/>
                      <w:sz w:val="21"/>
                      <w:szCs w:val="21"/>
                      <w:highlight w:val="none"/>
                      <w:lang w:val="zh-CN" w:bidi="zh-CN"/>
                      <w14:textFill>
                        <w14:solidFill>
                          <w14:schemeClr w14:val="tx1"/>
                        </w14:solidFill>
                      </w14:textFill>
                    </w:rPr>
                    <w:t>m³</w:t>
                  </w:r>
                </w:p>
              </w:tc>
            </w:tr>
            <w:tr w14:paraId="337425EC">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pct"/>
                  <w:vMerge w:val="continue"/>
                  <w:tcBorders>
                    <w:tl2br w:val="nil"/>
                    <w:tr2bl w:val="nil"/>
                  </w:tcBorders>
                  <w:shd w:val="clear" w:color="auto" w:fill="auto"/>
                  <w:noWrap w:val="0"/>
                  <w:vAlign w:val="center"/>
                </w:tcPr>
                <w:p w14:paraId="461E6973">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p>
              </w:tc>
              <w:tc>
                <w:tcPr>
                  <w:tcW w:w="624" w:type="pct"/>
                  <w:tcBorders>
                    <w:tl2br w:val="nil"/>
                    <w:tr2bl w:val="nil"/>
                  </w:tcBorders>
                  <w:shd w:val="clear" w:color="auto" w:fill="auto"/>
                  <w:noWrap w:val="0"/>
                  <w:vAlign w:val="center"/>
                </w:tcPr>
                <w:p w14:paraId="6972291F">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产生量kg/a</w:t>
                  </w:r>
                </w:p>
              </w:tc>
              <w:tc>
                <w:tcPr>
                  <w:tcW w:w="624" w:type="pct"/>
                  <w:tcBorders>
                    <w:tl2br w:val="nil"/>
                    <w:tr2bl w:val="nil"/>
                  </w:tcBorders>
                  <w:shd w:val="clear" w:color="auto" w:fill="auto"/>
                  <w:noWrap w:val="0"/>
                  <w:vAlign w:val="center"/>
                </w:tcPr>
                <w:p w14:paraId="726D2D3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产生速率kg/h</w:t>
                  </w:r>
                </w:p>
              </w:tc>
              <w:tc>
                <w:tcPr>
                  <w:tcW w:w="626" w:type="pct"/>
                  <w:tcBorders>
                    <w:tl2br w:val="nil"/>
                    <w:tr2bl w:val="nil"/>
                  </w:tcBorders>
                  <w:shd w:val="clear" w:color="auto" w:fill="auto"/>
                  <w:noWrap w:val="0"/>
                  <w:vAlign w:val="center"/>
                </w:tcPr>
                <w:p w14:paraId="0625BB4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产生浓度mg/</w:t>
                  </w:r>
                  <w:r>
                    <w:rPr>
                      <w:rFonts w:hint="default" w:ascii="Times New Roman" w:hAnsi="Times New Roman" w:cs="Times New Roman"/>
                      <w:b/>
                      <w:bCs/>
                      <w:color w:val="000000" w:themeColor="text1"/>
                      <w:sz w:val="21"/>
                      <w:szCs w:val="21"/>
                      <w:highlight w:val="none"/>
                      <w:lang w:val="zh-CN" w:bidi="zh-CN"/>
                      <w14:textFill>
                        <w14:solidFill>
                          <w14:schemeClr w14:val="tx1"/>
                        </w14:solidFill>
                      </w14:textFill>
                    </w:rPr>
                    <w:t>m³</w:t>
                  </w:r>
                </w:p>
              </w:tc>
              <w:tc>
                <w:tcPr>
                  <w:tcW w:w="625" w:type="pct"/>
                  <w:tcBorders>
                    <w:tl2br w:val="nil"/>
                    <w:tr2bl w:val="nil"/>
                  </w:tcBorders>
                  <w:shd w:val="clear" w:color="auto" w:fill="auto"/>
                  <w:noWrap w:val="0"/>
                  <w:vAlign w:val="center"/>
                </w:tcPr>
                <w:p w14:paraId="10D07F7C">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排放量kg/a</w:t>
                  </w:r>
                </w:p>
              </w:tc>
              <w:tc>
                <w:tcPr>
                  <w:tcW w:w="625" w:type="pct"/>
                  <w:tcBorders>
                    <w:tl2br w:val="nil"/>
                    <w:tr2bl w:val="nil"/>
                  </w:tcBorders>
                  <w:shd w:val="clear" w:color="auto" w:fill="auto"/>
                  <w:noWrap w:val="0"/>
                  <w:vAlign w:val="center"/>
                </w:tcPr>
                <w:p w14:paraId="18AE6A4B">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排放速率kg/h</w:t>
                  </w:r>
                </w:p>
              </w:tc>
              <w:tc>
                <w:tcPr>
                  <w:tcW w:w="625" w:type="pct"/>
                  <w:tcBorders>
                    <w:tl2br w:val="nil"/>
                    <w:tr2bl w:val="nil"/>
                  </w:tcBorders>
                  <w:shd w:val="clear" w:color="auto" w:fill="auto"/>
                  <w:noWrap w:val="0"/>
                  <w:vAlign w:val="center"/>
                </w:tcPr>
                <w:p w14:paraId="042296EB">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r>
                    <w:rPr>
                      <w:rFonts w:ascii="Times New Roman" w:hAnsi="Times New Roman" w:cs="Times New Roman"/>
                      <w:b/>
                      <w:bCs/>
                      <w:color w:val="000000" w:themeColor="text1"/>
                      <w:sz w:val="21"/>
                      <w:szCs w:val="21"/>
                      <w:highlight w:val="none"/>
                      <w:lang w:val="zh-CN" w:bidi="zh-CN"/>
                      <w14:textFill>
                        <w14:solidFill>
                          <w14:schemeClr w14:val="tx1"/>
                        </w14:solidFill>
                      </w14:textFill>
                    </w:rPr>
                    <w:t>排放浓度mg/</w:t>
                  </w:r>
                  <w:r>
                    <w:rPr>
                      <w:rFonts w:hint="default" w:ascii="Times New Roman" w:hAnsi="Times New Roman" w:cs="Times New Roman"/>
                      <w:b/>
                      <w:bCs/>
                      <w:color w:val="000000" w:themeColor="text1"/>
                      <w:sz w:val="21"/>
                      <w:szCs w:val="21"/>
                      <w:highlight w:val="none"/>
                      <w:lang w:val="zh-CN" w:bidi="zh-CN"/>
                      <w14:textFill>
                        <w14:solidFill>
                          <w14:schemeClr w14:val="tx1"/>
                        </w14:solidFill>
                      </w14:textFill>
                    </w:rPr>
                    <w:t>m³</w:t>
                  </w:r>
                </w:p>
              </w:tc>
              <w:tc>
                <w:tcPr>
                  <w:tcW w:w="625" w:type="pct"/>
                  <w:vMerge w:val="continue"/>
                  <w:tcBorders>
                    <w:tl2br w:val="nil"/>
                    <w:tr2bl w:val="nil"/>
                  </w:tcBorders>
                  <w:shd w:val="clear" w:color="auto" w:fill="auto"/>
                  <w:noWrap w:val="0"/>
                  <w:vAlign w:val="center"/>
                </w:tcPr>
                <w:p w14:paraId="65712B31">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b/>
                      <w:bCs/>
                      <w:color w:val="000000" w:themeColor="text1"/>
                      <w:sz w:val="21"/>
                      <w:szCs w:val="21"/>
                      <w:highlight w:val="none"/>
                      <w:lang w:val="zh-CN" w:bidi="zh-CN"/>
                      <w14:textFill>
                        <w14:solidFill>
                          <w14:schemeClr w14:val="tx1"/>
                        </w14:solidFill>
                      </w14:textFill>
                    </w:rPr>
                  </w:pPr>
                </w:p>
              </w:tc>
            </w:tr>
            <w:tr w14:paraId="029D0190">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24" w:type="pct"/>
                  <w:tcBorders>
                    <w:tl2br w:val="nil"/>
                    <w:tr2bl w:val="nil"/>
                  </w:tcBorders>
                  <w:shd w:val="clear" w:color="auto" w:fill="auto"/>
                  <w:noWrap w:val="0"/>
                  <w:vAlign w:val="center"/>
                </w:tcPr>
                <w:p w14:paraId="199A13D7">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lang w:val="zh-CN" w:bidi="zh-CN"/>
                      <w14:textFill>
                        <w14:solidFill>
                          <w14:schemeClr w14:val="tx1"/>
                        </w14:solidFill>
                      </w14:textFill>
                    </w:rPr>
                  </w:pPr>
                  <w:r>
                    <w:rPr>
                      <w:rFonts w:ascii="Times New Roman" w:hAnsi="Times New Roman" w:cs="Times New Roman"/>
                      <w:color w:val="000000" w:themeColor="text1"/>
                      <w:sz w:val="21"/>
                      <w:szCs w:val="21"/>
                      <w:highlight w:val="none"/>
                      <w:lang w:val="zh-CN" w:bidi="zh-CN"/>
                      <w14:textFill>
                        <w14:solidFill>
                          <w14:schemeClr w14:val="tx1"/>
                        </w14:solidFill>
                      </w14:textFill>
                    </w:rPr>
                    <w:t>油烟</w:t>
                  </w:r>
                </w:p>
              </w:tc>
              <w:tc>
                <w:tcPr>
                  <w:tcW w:w="624" w:type="pct"/>
                  <w:tcBorders>
                    <w:tl2br w:val="nil"/>
                    <w:tr2bl w:val="nil"/>
                  </w:tcBorders>
                  <w:shd w:val="clear" w:color="auto" w:fill="auto"/>
                  <w:noWrap w:val="0"/>
                  <w:vAlign w:val="center"/>
                </w:tcPr>
                <w:p w14:paraId="3D7D1043">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1.53</w:t>
                  </w:r>
                </w:p>
              </w:tc>
              <w:tc>
                <w:tcPr>
                  <w:tcW w:w="624" w:type="pct"/>
                  <w:tcBorders>
                    <w:tl2br w:val="nil"/>
                    <w:tr2bl w:val="nil"/>
                  </w:tcBorders>
                  <w:shd w:val="clear" w:color="auto" w:fill="auto"/>
                  <w:noWrap w:val="0"/>
                  <w:vAlign w:val="center"/>
                </w:tcPr>
                <w:p w14:paraId="3B48BB1F">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0.0017</w:t>
                  </w:r>
                </w:p>
              </w:tc>
              <w:tc>
                <w:tcPr>
                  <w:tcW w:w="626" w:type="pct"/>
                  <w:tcBorders>
                    <w:tl2br w:val="nil"/>
                    <w:tr2bl w:val="nil"/>
                  </w:tcBorders>
                  <w:shd w:val="clear" w:color="auto" w:fill="auto"/>
                  <w:noWrap w:val="0"/>
                  <w:vAlign w:val="center"/>
                </w:tcPr>
                <w:p w14:paraId="0A5CA5F6">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1.7</w:t>
                  </w:r>
                </w:p>
              </w:tc>
              <w:tc>
                <w:tcPr>
                  <w:tcW w:w="625" w:type="pct"/>
                  <w:tcBorders>
                    <w:tl2br w:val="nil"/>
                    <w:tr2bl w:val="nil"/>
                  </w:tcBorders>
                  <w:shd w:val="clear" w:color="auto" w:fill="auto"/>
                  <w:noWrap w:val="0"/>
                  <w:vAlign w:val="center"/>
                </w:tcPr>
                <w:p w14:paraId="442C9140">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0.612</w:t>
                  </w:r>
                </w:p>
              </w:tc>
              <w:tc>
                <w:tcPr>
                  <w:tcW w:w="625" w:type="pct"/>
                  <w:tcBorders>
                    <w:tl2br w:val="nil"/>
                    <w:tr2bl w:val="nil"/>
                  </w:tcBorders>
                  <w:shd w:val="clear" w:color="auto" w:fill="auto"/>
                  <w:noWrap w:val="0"/>
                  <w:vAlign w:val="center"/>
                </w:tcPr>
                <w:p w14:paraId="022D9297">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lang w:bidi="zh-CN"/>
                      <w14:textFill>
                        <w14:solidFill>
                          <w14:schemeClr w14:val="tx1"/>
                        </w14:solidFill>
                      </w14:textFill>
                    </w:rPr>
                  </w:pPr>
                  <w:r>
                    <w:rPr>
                      <w:rFonts w:hint="default" w:ascii="Times New Roman" w:hAnsi="Times New Roman" w:cs="Times New Roman"/>
                      <w:color w:val="000000" w:themeColor="text1"/>
                      <w:sz w:val="21"/>
                      <w:szCs w:val="21"/>
                      <w:highlight w:val="none"/>
                      <w:lang w:bidi="zh-CN"/>
                      <w14:textFill>
                        <w14:solidFill>
                          <w14:schemeClr w14:val="tx1"/>
                        </w14:solidFill>
                      </w14:textFill>
                    </w:rPr>
                    <w:t>0.0007</w:t>
                  </w:r>
                </w:p>
              </w:tc>
              <w:tc>
                <w:tcPr>
                  <w:tcW w:w="625" w:type="pct"/>
                  <w:tcBorders>
                    <w:tl2br w:val="nil"/>
                    <w:tr2bl w:val="nil"/>
                  </w:tcBorders>
                  <w:shd w:val="clear" w:color="auto" w:fill="auto"/>
                  <w:noWrap w:val="0"/>
                  <w:vAlign w:val="center"/>
                </w:tcPr>
                <w:p w14:paraId="5C532C9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hint="default" w:ascii="Times New Roman" w:hAnsi="Times New Roman" w:cs="Times New Roman"/>
                      <w:color w:val="000000" w:themeColor="text1"/>
                      <w:sz w:val="21"/>
                      <w:szCs w:val="21"/>
                      <w:highlight w:val="none"/>
                      <w:lang w:val="en-US" w:bidi="zh-CN"/>
                      <w14:textFill>
                        <w14:solidFill>
                          <w14:schemeClr w14:val="tx1"/>
                        </w14:solidFill>
                      </w14:textFill>
                    </w:rPr>
                  </w:pPr>
                  <w:r>
                    <w:rPr>
                      <w:rFonts w:hint="default" w:ascii="Times New Roman" w:hAnsi="Times New Roman" w:cs="Times New Roman"/>
                      <w:color w:val="000000" w:themeColor="text1"/>
                      <w:sz w:val="21"/>
                      <w:szCs w:val="21"/>
                      <w:highlight w:val="none"/>
                      <w:lang w:val="en-US" w:bidi="zh-CN"/>
                      <w14:textFill>
                        <w14:solidFill>
                          <w14:schemeClr w14:val="tx1"/>
                        </w14:solidFill>
                      </w14:textFill>
                    </w:rPr>
                    <w:t>0.7</w:t>
                  </w:r>
                </w:p>
              </w:tc>
              <w:tc>
                <w:tcPr>
                  <w:tcW w:w="625" w:type="pct"/>
                  <w:tcBorders>
                    <w:tl2br w:val="nil"/>
                    <w:tr2bl w:val="nil"/>
                  </w:tcBorders>
                  <w:shd w:val="clear" w:color="auto" w:fill="auto"/>
                  <w:noWrap w:val="0"/>
                  <w:vAlign w:val="center"/>
                </w:tcPr>
                <w:p w14:paraId="5C785184">
                  <w:pPr>
                    <w:keepNext w:val="0"/>
                    <w:keepLines w:val="0"/>
                    <w:pageBreakBefore w:val="0"/>
                    <w:widowControl w:val="0"/>
                    <w:kinsoku/>
                    <w:wordWrap/>
                    <w:overflowPunct/>
                    <w:topLinePunct w:val="0"/>
                    <w:autoSpaceDE/>
                    <w:autoSpaceDN/>
                    <w:bidi w:val="0"/>
                    <w:adjustRightInd/>
                    <w:snapToGrid/>
                    <w:spacing w:before="157" w:beforeLines="50" w:afterLines="0" w:line="360" w:lineRule="auto"/>
                    <w:jc w:val="center"/>
                    <w:textAlignment w:val="auto"/>
                    <w:rPr>
                      <w:rFonts w:ascii="Times New Roman" w:hAnsi="Times New Roman" w:cs="Times New Roman"/>
                      <w:color w:val="000000" w:themeColor="text1"/>
                      <w:sz w:val="21"/>
                      <w:szCs w:val="21"/>
                      <w:highlight w:val="none"/>
                      <w:lang w:val="zh-CN" w:bidi="zh-CN"/>
                      <w14:textFill>
                        <w14:solidFill>
                          <w14:schemeClr w14:val="tx1"/>
                        </w14:solidFill>
                      </w14:textFill>
                    </w:rPr>
                  </w:pPr>
                  <w:r>
                    <w:rPr>
                      <w:rFonts w:ascii="Times New Roman" w:hAnsi="Times New Roman" w:cs="Times New Roman"/>
                      <w:color w:val="000000" w:themeColor="text1"/>
                      <w:sz w:val="21"/>
                      <w:szCs w:val="21"/>
                      <w:highlight w:val="none"/>
                      <w:lang w:val="zh-CN" w:bidi="zh-CN"/>
                      <w14:textFill>
                        <w14:solidFill>
                          <w14:schemeClr w14:val="tx1"/>
                        </w14:solidFill>
                      </w14:textFill>
                    </w:rPr>
                    <w:t>2.0</w:t>
                  </w:r>
                </w:p>
              </w:tc>
            </w:tr>
          </w:tbl>
          <w:p w14:paraId="50CBECE1">
            <w:pPr>
              <w:spacing w:beforeLines="0" w:afterLines="0" w:line="360" w:lineRule="auto"/>
              <w:ind w:firstLine="480" w:firstLineChars="200"/>
              <w:rPr>
                <w:rFonts w:ascii="Times New Roman" w:hAnsi="Times New Roman" w:cs="Times New Roman"/>
                <w:color w:val="000000" w:themeColor="text1"/>
                <w:sz w:val="24"/>
                <w:szCs w:val="24"/>
                <w:highlight w:val="none"/>
                <w:lang w:bidi="zh-CN"/>
                <w14:textFill>
                  <w14:solidFill>
                    <w14:schemeClr w14:val="tx1"/>
                  </w14:solidFill>
                </w14:textFill>
              </w:rPr>
            </w:pPr>
            <w:r>
              <w:rPr>
                <w:rFonts w:ascii="Times New Roman" w:hAnsi="Times New Roman" w:cs="Times New Roman"/>
                <w:color w:val="000000" w:themeColor="text1"/>
                <w:sz w:val="24"/>
                <w:szCs w:val="24"/>
                <w:highlight w:val="none"/>
                <w:lang w:val="zh-CN" w:bidi="zh-CN"/>
                <w14:textFill>
                  <w14:solidFill>
                    <w14:schemeClr w14:val="tx1"/>
                  </w14:solidFill>
                </w14:textFill>
              </w:rPr>
              <w:t>食堂安装国家认证合格的油烟净化设备并设置排烟道，食堂油烟废气可达到</w:t>
            </w:r>
            <w:r>
              <w:rPr>
                <w:rFonts w:hint="default" w:ascii="Times New Roman" w:hAnsi="Times New Roman" w:cs="Times New Roman"/>
                <w:color w:val="000000" w:themeColor="text1"/>
                <w:sz w:val="24"/>
                <w:szCs w:val="24"/>
                <w:highlight w:val="none"/>
                <w:lang w:val="zh-CN" w:bidi="zh-CN"/>
                <w14:textFill>
                  <w14:solidFill>
                    <w14:schemeClr w14:val="tx1"/>
                  </w14:solidFill>
                </w14:textFill>
              </w:rPr>
              <w:t>《饮食业油烟排放标准（试行）》（GB18483-2001）表2所列标准限值</w:t>
            </w:r>
            <w:r>
              <w:rPr>
                <w:rFonts w:ascii="Times New Roman" w:hAnsi="Times New Roman" w:cs="Times New Roman"/>
                <w:color w:val="000000" w:themeColor="text1"/>
                <w:sz w:val="24"/>
                <w:szCs w:val="24"/>
                <w:highlight w:val="none"/>
                <w:lang w:val="zh-CN" w:bidi="zh-CN"/>
                <w14:textFill>
                  <w14:solidFill>
                    <w14:schemeClr w14:val="tx1"/>
                  </w14:solidFill>
                </w14:textFill>
              </w:rPr>
              <w:t>，经大气稀释扩散后，对周围环境影响较小。</w:t>
            </w:r>
          </w:p>
          <w:p w14:paraId="32D1E82D">
            <w:pPr>
              <w:keepNext w:val="0"/>
              <w:keepLines w:val="0"/>
              <w:pageBreakBefore w:val="0"/>
              <w:kinsoku/>
              <w:wordWrap/>
              <w:topLinePunct w:val="0"/>
              <w:bidi w:val="0"/>
              <w:snapToGrid/>
              <w:spacing w:beforeLines="0" w:beforeAutospacing="0" w:afterLines="0" w:afterAutospacing="0" w:line="360" w:lineRule="auto"/>
              <w:ind w:firstLine="0" w:firstLineChars="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p>
          <w:p w14:paraId="66B3759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pPr>
          </w:p>
          <w:p w14:paraId="1FAAF339">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pPr>
          </w:p>
        </w:tc>
      </w:tr>
    </w:tbl>
    <w:p w14:paraId="4BE5F259">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p>
    <w:p w14:paraId="05C41118">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p>
    <w:p w14:paraId="5664366C">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13107"/>
      </w:tblGrid>
      <w:tr w14:paraId="6D42F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8" w:hRule="atLeast"/>
          <w:jc w:val="center"/>
        </w:trPr>
        <w:tc>
          <w:tcPr>
            <w:tcW w:w="79" w:type="pct"/>
            <w:noWrap w:val="0"/>
            <w:tcMar>
              <w:left w:w="28" w:type="dxa"/>
              <w:right w:w="28" w:type="dxa"/>
            </w:tcMar>
            <w:vAlign w:val="center"/>
          </w:tcPr>
          <w:p w14:paraId="3CE05D56">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运营</w:t>
            </w:r>
          </w:p>
          <w:p w14:paraId="3D9B597B">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期环</w:t>
            </w:r>
          </w:p>
          <w:p w14:paraId="7D9583E0">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境影</w:t>
            </w:r>
          </w:p>
          <w:p w14:paraId="12FFA789">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响和</w:t>
            </w:r>
          </w:p>
          <w:p w14:paraId="5C31A442">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保护</w:t>
            </w:r>
          </w:p>
          <w:p w14:paraId="42E17E45">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措施</w:t>
            </w:r>
          </w:p>
        </w:tc>
        <w:tc>
          <w:tcPr>
            <w:tcW w:w="4920" w:type="pct"/>
            <w:noWrap w:val="0"/>
            <w:vAlign w:val="center"/>
          </w:tcPr>
          <w:p w14:paraId="48AA614A">
            <w:pPr>
              <w:keepNext w:val="0"/>
              <w:keepLines w:val="0"/>
              <w:pageBreakBefore w:val="0"/>
              <w:kinsoku/>
              <w:wordWrap/>
              <w:topLinePunct w:val="0"/>
              <w:bidi w:val="0"/>
              <w:snapToGrid/>
              <w:spacing w:beforeLines="0" w:beforeAutospacing="0" w:afterLines="0" w:afterAutospacing="0" w:line="36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表4-2  主要</w:t>
            </w:r>
            <w:r>
              <w:rPr>
                <w:rFonts w:hint="default" w:ascii="Times New Roman" w:hAnsi="Times New Roman" w:cs="Times New Roman"/>
                <w:b/>
                <w:bCs/>
                <w:color w:val="000000" w:themeColor="text1"/>
                <w:sz w:val="21"/>
                <w:szCs w:val="21"/>
                <w:highlight w:val="none"/>
                <w14:textFill>
                  <w14:solidFill>
                    <w14:schemeClr w14:val="tx1"/>
                  </w14:solidFill>
                </w14:textFill>
              </w:rPr>
              <w:t>大气污染物排放量核算表</w:t>
            </w:r>
          </w:p>
          <w:tbl>
            <w:tblPr>
              <w:tblStyle w:val="35"/>
              <w:tblW w:w="128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3"/>
              <w:gridCol w:w="448"/>
              <w:gridCol w:w="682"/>
              <w:gridCol w:w="497"/>
              <w:gridCol w:w="741"/>
              <w:gridCol w:w="793"/>
              <w:gridCol w:w="794"/>
              <w:gridCol w:w="797"/>
              <w:gridCol w:w="1823"/>
              <w:gridCol w:w="565"/>
              <w:gridCol w:w="611"/>
              <w:gridCol w:w="480"/>
              <w:gridCol w:w="892"/>
              <w:gridCol w:w="793"/>
              <w:gridCol w:w="794"/>
              <w:gridCol w:w="903"/>
              <w:gridCol w:w="650"/>
            </w:tblGrid>
            <w:tr w14:paraId="5566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51716">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工序/生产线</w:t>
                  </w:r>
                </w:p>
              </w:tc>
              <w:tc>
                <w:tcPr>
                  <w:tcW w:w="43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12443">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40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D19BB0">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污染物产生</w:t>
                  </w:r>
                </w:p>
              </w:tc>
              <w:tc>
                <w:tcPr>
                  <w:tcW w:w="11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CBDBB4">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治理措施</w:t>
                  </w:r>
                </w:p>
              </w:tc>
              <w:tc>
                <w:tcPr>
                  <w:tcW w:w="149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56A71E">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污染物排放</w:t>
                  </w:r>
                </w:p>
              </w:tc>
              <w:tc>
                <w:tcPr>
                  <w:tcW w:w="252" w:type="pct"/>
                  <w:vMerge w:val="restart"/>
                  <w:tcBorders>
                    <w:top w:val="single" w:color="000000" w:sz="4" w:space="0"/>
                    <w:left w:val="single" w:color="000000" w:sz="4" w:space="0"/>
                    <w:right w:val="single" w:color="000000" w:sz="4" w:space="0"/>
                  </w:tcBorders>
                  <w:shd w:val="clear" w:color="auto" w:fill="auto"/>
                  <w:vAlign w:val="center"/>
                </w:tcPr>
                <w:p w14:paraId="08CF535E">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排放时间</w:t>
                  </w:r>
                </w:p>
                <w:p w14:paraId="36375297">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h</w:t>
                  </w:r>
                </w:p>
              </w:tc>
            </w:tr>
            <w:tr w14:paraId="5DD10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FC78F">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3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FDED7">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DC12">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核算</w:t>
                  </w:r>
                </w:p>
              </w:tc>
              <w:tc>
                <w:tcPr>
                  <w:tcW w:w="2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4789A">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废气产生量m³/h</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EB1B3">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产生浓度</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EFBC">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产生速率</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281B2">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产生量</w:t>
                  </w:r>
                </w:p>
              </w:tc>
              <w:tc>
                <w:tcPr>
                  <w:tcW w:w="7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269DD">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处理措施</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35E9">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收集效率</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3E772">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处理效率</w:t>
                  </w:r>
                </w:p>
              </w:tc>
              <w:tc>
                <w:tcPr>
                  <w:tcW w:w="1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F1B8F">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核算方法</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7C80D">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废气排放量mg/m³</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CE9B">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排放浓度</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E48B">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排放速率</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AEFF0">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排放量t/a</w:t>
                  </w:r>
                </w:p>
              </w:tc>
              <w:tc>
                <w:tcPr>
                  <w:tcW w:w="252" w:type="pct"/>
                  <w:vMerge w:val="continue"/>
                  <w:tcBorders>
                    <w:left w:val="single" w:color="000000" w:sz="4" w:space="0"/>
                    <w:right w:val="single" w:color="000000" w:sz="4" w:space="0"/>
                  </w:tcBorders>
                  <w:shd w:val="clear" w:color="auto" w:fill="auto"/>
                  <w:vAlign w:val="center"/>
                </w:tcPr>
                <w:p w14:paraId="4CF192DE">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r w14:paraId="360B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F7CF3">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3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87BA2">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E4EF">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方法</w:t>
                  </w:r>
                </w:p>
              </w:tc>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81ECC">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141E8">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mg/m³</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67D7F">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9C6A">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06C8B">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C83DA">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893A">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674C5">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623E">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3B9F">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mg/m³</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782F4">
                  <w:pPr>
                    <w:keepNext w:val="0"/>
                    <w:keepLines w:val="0"/>
                    <w:widowControl/>
                    <w:suppressLineNumbers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kg/h</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D3F5C">
                  <w:pPr>
                    <w:spacing w:beforeLines="0" w:afterLine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52" w:type="pct"/>
                  <w:vMerge w:val="continue"/>
                  <w:tcBorders>
                    <w:left w:val="single" w:color="000000" w:sz="4" w:space="0"/>
                    <w:bottom w:val="single" w:color="000000" w:sz="4" w:space="0"/>
                    <w:right w:val="single" w:color="000000" w:sz="4" w:space="0"/>
                  </w:tcBorders>
                  <w:shd w:val="clear" w:color="auto" w:fill="auto"/>
                  <w:noWrap/>
                  <w:vAlign w:val="center"/>
                </w:tcPr>
                <w:p w14:paraId="10F87B93">
                  <w:pPr>
                    <w:spacing w:beforeLines="0" w:afterLines="0"/>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11D5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7ED6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搅拌粉尘</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486F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94FCC">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有组织</w:t>
                  </w:r>
                </w:p>
              </w:tc>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014F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258D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F956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1B6C">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361E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62.4</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80C2A">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集气装置</w:t>
                  </w:r>
                  <w:r>
                    <w:rPr>
                      <w:rStyle w:val="111"/>
                      <w:rFonts w:ascii="Times New Roman" w:hAnsi="Times New Roman" w:eastAsia="宋体" w:cs="Times New Roman"/>
                      <w:color w:val="000000" w:themeColor="text1"/>
                      <w:highlight w:val="none"/>
                      <w:lang w:val="en-US" w:eastAsia="zh-CN" w:bidi="ar"/>
                      <w14:textFill>
                        <w14:solidFill>
                          <w14:schemeClr w14:val="tx1"/>
                        </w14:solidFill>
                      </w14:textFill>
                    </w:rPr>
                    <w:t>+</w:t>
                  </w:r>
                  <w:r>
                    <w:rPr>
                      <w:rStyle w:val="112"/>
                      <w:rFonts w:hint="default" w:ascii="Times New Roman" w:hAnsi="Times New Roman" w:cs="Times New Roman"/>
                      <w:color w:val="000000" w:themeColor="text1"/>
                      <w:highlight w:val="none"/>
                      <w:lang w:val="en-US" w:eastAsia="zh-CN" w:bidi="ar"/>
                      <w14:textFill>
                        <w14:solidFill>
                          <w14:schemeClr w14:val="tx1"/>
                        </w14:solidFill>
                      </w14:textFill>
                    </w:rPr>
                    <w:t>脉冲袋式除尘器装置</w:t>
                  </w:r>
                  <w:r>
                    <w:rPr>
                      <w:rStyle w:val="111"/>
                      <w:rFonts w:ascii="Times New Roman" w:hAnsi="Times New Roman" w:eastAsia="宋体" w:cs="Times New Roman"/>
                      <w:color w:val="000000" w:themeColor="text1"/>
                      <w:highlight w:val="none"/>
                      <w:lang w:val="en-US" w:eastAsia="zh-CN" w:bidi="ar"/>
                      <w14:textFill>
                        <w14:solidFill>
                          <w14:schemeClr w14:val="tx1"/>
                        </w14:solidFill>
                      </w14:textFill>
                    </w:rPr>
                    <w:t>+15m</w:t>
                  </w:r>
                  <w:r>
                    <w:rPr>
                      <w:rStyle w:val="112"/>
                      <w:rFonts w:hint="default" w:ascii="Times New Roman" w:hAnsi="Times New Roman" w:cs="Times New Roman"/>
                      <w:color w:val="000000" w:themeColor="text1"/>
                      <w:highlight w:val="none"/>
                      <w:lang w:val="en-US" w:eastAsia="zh-CN" w:bidi="ar"/>
                      <w14:textFill>
                        <w14:solidFill>
                          <w14:schemeClr w14:val="tx1"/>
                        </w14:solidFill>
                      </w14:textFill>
                    </w:rPr>
                    <w:t>高排气筒（</w:t>
                  </w:r>
                  <w:r>
                    <w:rPr>
                      <w:rStyle w:val="111"/>
                      <w:rFonts w:ascii="Times New Roman" w:hAnsi="Times New Roman" w:eastAsia="宋体" w:cs="Times New Roman"/>
                      <w:color w:val="000000" w:themeColor="text1"/>
                      <w:highlight w:val="none"/>
                      <w:lang w:val="en-US" w:eastAsia="zh-CN" w:bidi="ar"/>
                      <w14:textFill>
                        <w14:solidFill>
                          <w14:schemeClr w14:val="tx1"/>
                        </w14:solidFill>
                      </w14:textFill>
                    </w:rPr>
                    <w:t>DA001</w:t>
                  </w:r>
                  <w:r>
                    <w:rPr>
                      <w:rStyle w:val="112"/>
                      <w:rFonts w:hint="default" w:ascii="Times New Roman" w:hAnsi="Times New Roman" w:cs="Times New Roman"/>
                      <w:color w:val="000000" w:themeColor="text1"/>
                      <w:highlight w:val="none"/>
                      <w:lang w:val="en-US" w:eastAsia="zh-CN" w:bidi="ar"/>
                      <w14:textFill>
                        <w14:solidFill>
                          <w14:schemeClr w14:val="tx1"/>
                        </w14:solidFill>
                      </w14:textFill>
                    </w:rPr>
                    <w:t>）排放</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EA2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19DA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w:t>
                  </w:r>
                </w:p>
              </w:tc>
              <w:tc>
                <w:tcPr>
                  <w:tcW w:w="1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7675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EB1C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3718">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7.8</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7113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62C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0.5616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0653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r>
            <w:tr w14:paraId="19161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BC81D">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8A54">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CB9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329AE">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A6A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098F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4DA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373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6.24</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D04BA">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喷雾降尘</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5150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354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w:t>
                  </w:r>
                </w:p>
              </w:tc>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3ECB7">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BDC8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6FBDC">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EC588">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0.0234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C14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0.05616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54790">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0BE3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0966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筒仓仓顶呼吸孔粉尘</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4664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2145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1#水泥筒仓有组织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474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9CD8">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42CF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1056</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C06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91A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0D2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脉冲滤芯除尘器+15m高排气筒（DA002）排放</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6DE7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6B9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25C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DE704">
                  <w:pPr>
                    <w:keepNext w:val="0"/>
                    <w:keepLines w:val="0"/>
                    <w:widowControl/>
                    <w:suppressLineNumbers w:val="0"/>
                    <w:spacing w:beforeLines="0" w:afterLines="0"/>
                    <w:jc w:val="center"/>
                    <w:textAlignment w:val="center"/>
                    <w:rPr>
                      <w:rFonts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124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6.33</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3CBC">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0.095</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AE4B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0.057</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F838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r>
            <w:tr w14:paraId="401E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BE73D">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711DF">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56C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2#水泥筒仓有组织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92FA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A90B5">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A9EDA">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1056</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2BBEA">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EF6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66E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脉冲滤芯除尘器+15m高排气筒（DA003）排放</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5F14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B6A1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051D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B8DB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5478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6.33</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7999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0.095</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365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0.057</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65E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r>
            <w:tr w14:paraId="20257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5D748">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DEF2C">
                  <w:pPr>
                    <w:spacing w:beforeLines="0" w:afterLine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DBFF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粉煤灰筒仓有组织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3F1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C9E9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DB7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333</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628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4420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3AF2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脉冲滤芯除尘器+15m高排气筒（DA004）排放</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FED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A221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6F2B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5A18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CBB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EC3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0.043</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1E7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482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210</w:t>
                  </w:r>
                </w:p>
              </w:tc>
            </w:tr>
            <w:tr w14:paraId="471ED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C838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原料堆场粉尘</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15C2">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66325">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C6B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2C80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158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680D5">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78.5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D93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188</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BD1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喷雾降尘+厂房密闭</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+车辆冲洗</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FBC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B5B75">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99.9</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BDC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866C">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AF6E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5D2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0.045</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7DB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0.11</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5574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r>
            <w:tr w14:paraId="03BD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129F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上料粉尘</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294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89E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701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41E9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9DAD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11F6E">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1.425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136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3.42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BF2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喷雾降尘</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A9D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145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E42C0">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系数法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2B1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A266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AFC1">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0.15</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929C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0.356</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2C5C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r>
            <w:tr w14:paraId="06040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FC4F5">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运输扬尘</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980D">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53B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F236">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4BE4">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940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A328">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0.0215</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F2837">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0.0516</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DAD8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洒水抑尘</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DCB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E525A">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70A3">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8FFB">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A309">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9406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0.0043</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CB7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0.0103</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C1FDF">
                  <w:pPr>
                    <w:keepNext w:val="0"/>
                    <w:keepLines w:val="0"/>
                    <w:widowControl/>
                    <w:suppressLineNumbers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r>
          </w:tbl>
          <w:p w14:paraId="354E70F6">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textAlignment w:val="auto"/>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pPr>
          </w:p>
          <w:p w14:paraId="3CE44F59">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textAlignment w:val="auto"/>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pPr>
          </w:p>
          <w:p w14:paraId="23AEA526">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tc>
      </w:tr>
    </w:tbl>
    <w:p w14:paraId="64E2734E">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p>
    <w:p w14:paraId="22E789C7">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1"/>
        <w:gridCol w:w="8282"/>
      </w:tblGrid>
      <w:tr w14:paraId="73D70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9" w:type="pct"/>
            <w:noWrap w:val="0"/>
            <w:tcMar>
              <w:left w:w="28" w:type="dxa"/>
              <w:right w:w="28" w:type="dxa"/>
            </w:tcMar>
            <w:vAlign w:val="center"/>
          </w:tcPr>
          <w:p w14:paraId="59E815F6">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运营</w:t>
            </w:r>
          </w:p>
          <w:p w14:paraId="6F6D8093">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期环</w:t>
            </w:r>
          </w:p>
          <w:p w14:paraId="43AB8582">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境影</w:t>
            </w:r>
          </w:p>
          <w:p w14:paraId="04A609AD">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响和</w:t>
            </w:r>
          </w:p>
          <w:p w14:paraId="04EF9B42">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保护</w:t>
            </w:r>
          </w:p>
          <w:p w14:paraId="5392139F">
            <w:pPr>
              <w:keepNext w:val="0"/>
              <w:keepLines w:val="0"/>
              <w:pageBreakBefore w:val="0"/>
              <w:kinsoku/>
              <w:wordWrap/>
              <w:overflowPunct/>
              <w:bidi w:val="0"/>
              <w:adjustRightInd/>
              <w:snapToGrid/>
              <w:spacing w:beforeLines="0" w:beforeAutospacing="0" w:afterLines="0" w:afterAutospacing="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措施</w:t>
            </w:r>
          </w:p>
        </w:tc>
        <w:tc>
          <w:tcPr>
            <w:tcW w:w="4920" w:type="pct"/>
            <w:noWrap w:val="0"/>
            <w:vAlign w:val="center"/>
          </w:tcPr>
          <w:p w14:paraId="06C8B719">
            <w:pPr>
              <w:keepNext w:val="0"/>
              <w:keepLines w:val="0"/>
              <w:pageBreakBefore w:val="0"/>
              <w:widowControl w:val="0"/>
              <w:kinsoku/>
              <w:wordWrap/>
              <w:overflowPunct/>
              <w:topLinePunct w:val="0"/>
              <w:autoSpaceDE/>
              <w:autoSpaceDN/>
              <w:bidi w:val="0"/>
              <w:adjustRightInd/>
              <w:snapToGrid/>
              <w:spacing w:before="0" w:beforeLines="0" w:afterLines="0" w:line="360" w:lineRule="auto"/>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表4-3  项目排放口基本情况</w:t>
            </w:r>
          </w:p>
          <w:tbl>
            <w:tblPr>
              <w:tblStyle w:val="35"/>
              <w:tblW w:w="4996"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269"/>
              <w:gridCol w:w="649"/>
              <w:gridCol w:w="617"/>
              <w:gridCol w:w="630"/>
              <w:gridCol w:w="793"/>
              <w:gridCol w:w="1240"/>
              <w:gridCol w:w="1136"/>
              <w:gridCol w:w="749"/>
              <w:gridCol w:w="649"/>
              <w:gridCol w:w="627"/>
              <w:gridCol w:w="701"/>
            </w:tblGrid>
            <w:tr w14:paraId="0D62CCE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167" w:type="pct"/>
                  <w:vMerge w:val="restart"/>
                  <w:tcBorders>
                    <w:tl2br w:val="nil"/>
                    <w:tr2bl w:val="nil"/>
                  </w:tcBorders>
                  <w:shd w:val="clear" w:color="auto" w:fill="auto"/>
                  <w:noWrap w:val="0"/>
                  <w:tcMar>
                    <w:top w:w="15" w:type="dxa"/>
                    <w:left w:w="15" w:type="dxa"/>
                    <w:right w:w="15" w:type="dxa"/>
                  </w:tcMar>
                  <w:vAlign w:val="center"/>
                </w:tcPr>
                <w:p w14:paraId="73E276B3">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序号</w:t>
                  </w:r>
                </w:p>
              </w:tc>
              <w:tc>
                <w:tcPr>
                  <w:tcW w:w="402" w:type="pct"/>
                  <w:vMerge w:val="restart"/>
                  <w:tcBorders>
                    <w:tl2br w:val="nil"/>
                    <w:tr2bl w:val="nil"/>
                  </w:tcBorders>
                  <w:shd w:val="clear" w:color="auto" w:fill="auto"/>
                  <w:noWrap w:val="0"/>
                  <w:tcMar>
                    <w:top w:w="15" w:type="dxa"/>
                    <w:left w:w="15" w:type="dxa"/>
                    <w:right w:w="15" w:type="dxa"/>
                  </w:tcMar>
                  <w:vAlign w:val="center"/>
                </w:tcPr>
                <w:p w14:paraId="7821C43B">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排放口编号</w:t>
                  </w:r>
                </w:p>
              </w:tc>
              <w:tc>
                <w:tcPr>
                  <w:tcW w:w="383" w:type="pct"/>
                  <w:vMerge w:val="restart"/>
                  <w:tcBorders>
                    <w:tl2br w:val="nil"/>
                    <w:tr2bl w:val="nil"/>
                  </w:tcBorders>
                  <w:shd w:val="clear" w:color="auto" w:fill="auto"/>
                  <w:noWrap w:val="0"/>
                  <w:tcMar>
                    <w:top w:w="15" w:type="dxa"/>
                    <w:left w:w="15" w:type="dxa"/>
                    <w:right w:w="15" w:type="dxa"/>
                  </w:tcMar>
                  <w:vAlign w:val="center"/>
                </w:tcPr>
                <w:p w14:paraId="25FF2FB0">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排放口名称</w:t>
                  </w:r>
                </w:p>
              </w:tc>
              <w:tc>
                <w:tcPr>
                  <w:tcW w:w="390" w:type="pct"/>
                  <w:vMerge w:val="restart"/>
                  <w:tcBorders>
                    <w:tl2br w:val="nil"/>
                    <w:tr2bl w:val="nil"/>
                  </w:tcBorders>
                  <w:shd w:val="clear" w:color="auto" w:fill="auto"/>
                  <w:noWrap w:val="0"/>
                  <w:tcMar>
                    <w:top w:w="15" w:type="dxa"/>
                    <w:left w:w="15" w:type="dxa"/>
                    <w:right w:w="15" w:type="dxa"/>
                  </w:tcMar>
                  <w:vAlign w:val="center"/>
                </w:tcPr>
                <w:p w14:paraId="37BF5509">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排放口类型</w:t>
                  </w:r>
                </w:p>
              </w:tc>
              <w:tc>
                <w:tcPr>
                  <w:tcW w:w="491" w:type="pct"/>
                  <w:vMerge w:val="restart"/>
                  <w:tcBorders>
                    <w:tl2br w:val="nil"/>
                    <w:tr2bl w:val="nil"/>
                  </w:tcBorders>
                  <w:shd w:val="clear" w:color="auto" w:fill="auto"/>
                  <w:noWrap w:val="0"/>
                  <w:tcMar>
                    <w:top w:w="15" w:type="dxa"/>
                    <w:left w:w="15" w:type="dxa"/>
                    <w:right w:w="15" w:type="dxa"/>
                  </w:tcMar>
                  <w:vAlign w:val="center"/>
                </w:tcPr>
                <w:p w14:paraId="250887F7">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污染物种类</w:t>
                  </w:r>
                </w:p>
              </w:tc>
              <w:tc>
                <w:tcPr>
                  <w:tcW w:w="1472" w:type="pct"/>
                  <w:gridSpan w:val="2"/>
                  <w:tcBorders>
                    <w:tl2br w:val="nil"/>
                    <w:tr2bl w:val="nil"/>
                  </w:tcBorders>
                  <w:shd w:val="clear" w:color="auto" w:fill="auto"/>
                  <w:noWrap w:val="0"/>
                  <w:tcMar>
                    <w:top w:w="15" w:type="dxa"/>
                    <w:left w:w="15" w:type="dxa"/>
                    <w:right w:w="15" w:type="dxa"/>
                  </w:tcMar>
                  <w:vAlign w:val="center"/>
                </w:tcPr>
                <w:p w14:paraId="7A69FF61">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排放口地理坐标</w:t>
                  </w:r>
                </w:p>
              </w:tc>
              <w:tc>
                <w:tcPr>
                  <w:tcW w:w="464" w:type="pct"/>
                  <w:vMerge w:val="restart"/>
                  <w:tcBorders>
                    <w:tl2br w:val="nil"/>
                    <w:tr2bl w:val="nil"/>
                  </w:tcBorders>
                  <w:shd w:val="clear" w:color="auto" w:fill="auto"/>
                  <w:noWrap w:val="0"/>
                  <w:tcMar>
                    <w:top w:w="15" w:type="dxa"/>
                    <w:left w:w="15" w:type="dxa"/>
                    <w:right w:w="15" w:type="dxa"/>
                  </w:tcMar>
                  <w:vAlign w:val="center"/>
                </w:tcPr>
                <w:p w14:paraId="376EEE6A">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排气筒高度（m）</w:t>
                  </w:r>
                </w:p>
              </w:tc>
              <w:tc>
                <w:tcPr>
                  <w:tcW w:w="402" w:type="pct"/>
                  <w:vMerge w:val="restart"/>
                  <w:tcBorders>
                    <w:tl2br w:val="nil"/>
                    <w:tr2bl w:val="nil"/>
                  </w:tcBorders>
                  <w:shd w:val="clear" w:color="auto" w:fill="auto"/>
                  <w:noWrap w:val="0"/>
                  <w:tcMar>
                    <w:top w:w="15" w:type="dxa"/>
                    <w:left w:w="15" w:type="dxa"/>
                    <w:right w:w="15" w:type="dxa"/>
                  </w:tcMar>
                  <w:vAlign w:val="center"/>
                </w:tcPr>
                <w:p w14:paraId="40EE5EF0">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废气量</w:t>
                  </w: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m³</w:t>
                  </w:r>
                  <w:r>
                    <w:rPr>
                      <w:rFonts w:hint="default" w:ascii="Times New Roman" w:hAnsi="Times New Roman" w:cs="Times New Roman"/>
                      <w:b/>
                      <w:bCs/>
                      <w:color w:val="000000" w:themeColor="text1"/>
                      <w:kern w:val="0"/>
                      <w:sz w:val="21"/>
                      <w:szCs w:val="21"/>
                      <w:highlight w:val="none"/>
                      <w14:textFill>
                        <w14:solidFill>
                          <w14:schemeClr w14:val="tx1"/>
                        </w14:solidFill>
                      </w14:textFill>
                    </w:rPr>
                    <w:t>/h</w:t>
                  </w:r>
                </w:p>
              </w:tc>
              <w:tc>
                <w:tcPr>
                  <w:tcW w:w="388" w:type="pct"/>
                  <w:vMerge w:val="restart"/>
                  <w:tcBorders>
                    <w:tl2br w:val="nil"/>
                    <w:tr2bl w:val="nil"/>
                  </w:tcBorders>
                  <w:shd w:val="clear" w:color="auto" w:fill="auto"/>
                  <w:noWrap w:val="0"/>
                  <w:tcMar>
                    <w:top w:w="15" w:type="dxa"/>
                    <w:left w:w="15" w:type="dxa"/>
                    <w:right w:w="15" w:type="dxa"/>
                  </w:tcMar>
                  <w:vAlign w:val="center"/>
                </w:tcPr>
                <w:p w14:paraId="529F611A">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排气筒内径（m）</w:t>
                  </w:r>
                </w:p>
              </w:tc>
              <w:tc>
                <w:tcPr>
                  <w:tcW w:w="434" w:type="pct"/>
                  <w:vMerge w:val="restart"/>
                  <w:tcBorders>
                    <w:tl2br w:val="nil"/>
                    <w:tr2bl w:val="nil"/>
                  </w:tcBorders>
                  <w:shd w:val="clear" w:color="auto" w:fill="auto"/>
                  <w:noWrap w:val="0"/>
                  <w:tcMar>
                    <w:top w:w="15" w:type="dxa"/>
                    <w:left w:w="15" w:type="dxa"/>
                    <w:right w:w="15" w:type="dxa"/>
                  </w:tcMar>
                  <w:vAlign w:val="center"/>
                </w:tcPr>
                <w:p w14:paraId="7E7C8B00">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排气温度（℃）</w:t>
                  </w:r>
                </w:p>
              </w:tc>
            </w:tr>
            <w:tr w14:paraId="50EF100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167" w:type="pct"/>
                  <w:vMerge w:val="continue"/>
                  <w:tcBorders>
                    <w:tl2br w:val="nil"/>
                    <w:tr2bl w:val="nil"/>
                  </w:tcBorders>
                  <w:shd w:val="clear" w:color="auto" w:fill="auto"/>
                  <w:noWrap w:val="0"/>
                  <w:tcMar>
                    <w:top w:w="15" w:type="dxa"/>
                    <w:left w:w="15" w:type="dxa"/>
                    <w:right w:w="15" w:type="dxa"/>
                  </w:tcMar>
                  <w:vAlign w:val="center"/>
                </w:tcPr>
                <w:p w14:paraId="586E756A">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15" w:type="dxa"/>
                    <w:left w:w="15" w:type="dxa"/>
                    <w:right w:w="15" w:type="dxa"/>
                  </w:tcMar>
                  <w:vAlign w:val="center"/>
                </w:tcPr>
                <w:p w14:paraId="3F770222">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383" w:type="pct"/>
                  <w:vMerge w:val="continue"/>
                  <w:tcBorders>
                    <w:tl2br w:val="nil"/>
                    <w:tr2bl w:val="nil"/>
                  </w:tcBorders>
                  <w:shd w:val="clear" w:color="auto" w:fill="auto"/>
                  <w:noWrap w:val="0"/>
                  <w:tcMar>
                    <w:top w:w="15" w:type="dxa"/>
                    <w:left w:w="15" w:type="dxa"/>
                    <w:right w:w="15" w:type="dxa"/>
                  </w:tcMar>
                  <w:vAlign w:val="center"/>
                </w:tcPr>
                <w:p w14:paraId="3958D0D3">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390" w:type="pct"/>
                  <w:vMerge w:val="continue"/>
                  <w:tcBorders>
                    <w:tl2br w:val="nil"/>
                    <w:tr2bl w:val="nil"/>
                  </w:tcBorders>
                  <w:shd w:val="clear" w:color="auto" w:fill="auto"/>
                  <w:noWrap w:val="0"/>
                  <w:tcMar>
                    <w:top w:w="15" w:type="dxa"/>
                    <w:left w:w="15" w:type="dxa"/>
                    <w:right w:w="15" w:type="dxa"/>
                  </w:tcMar>
                  <w:vAlign w:val="center"/>
                </w:tcPr>
                <w:p w14:paraId="32BA1064">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491" w:type="pct"/>
                  <w:vMerge w:val="continue"/>
                  <w:tcBorders>
                    <w:tl2br w:val="nil"/>
                    <w:tr2bl w:val="nil"/>
                  </w:tcBorders>
                  <w:shd w:val="clear" w:color="auto" w:fill="auto"/>
                  <w:noWrap w:val="0"/>
                  <w:tcMar>
                    <w:top w:w="15" w:type="dxa"/>
                    <w:left w:w="15" w:type="dxa"/>
                    <w:right w:w="15" w:type="dxa"/>
                  </w:tcMar>
                  <w:vAlign w:val="center"/>
                </w:tcPr>
                <w:p w14:paraId="640D0E5A">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768" w:type="pct"/>
                  <w:tcBorders>
                    <w:tl2br w:val="nil"/>
                    <w:tr2bl w:val="nil"/>
                  </w:tcBorders>
                  <w:shd w:val="clear" w:color="auto" w:fill="auto"/>
                  <w:noWrap w:val="0"/>
                  <w:tcMar>
                    <w:top w:w="15" w:type="dxa"/>
                    <w:left w:w="15" w:type="dxa"/>
                    <w:right w:w="15" w:type="dxa"/>
                  </w:tcMar>
                  <w:vAlign w:val="center"/>
                </w:tcPr>
                <w:p w14:paraId="376778A2">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经度</w:t>
                  </w:r>
                </w:p>
              </w:tc>
              <w:tc>
                <w:tcPr>
                  <w:tcW w:w="703" w:type="pct"/>
                  <w:tcBorders>
                    <w:tl2br w:val="nil"/>
                    <w:tr2bl w:val="nil"/>
                  </w:tcBorders>
                  <w:shd w:val="clear" w:color="auto" w:fill="auto"/>
                  <w:noWrap w:val="0"/>
                  <w:tcMar>
                    <w:top w:w="15" w:type="dxa"/>
                    <w:left w:w="15" w:type="dxa"/>
                    <w:right w:w="15" w:type="dxa"/>
                  </w:tcMar>
                  <w:vAlign w:val="center"/>
                </w:tcPr>
                <w:p w14:paraId="4E9FF44B">
                  <w:pPr>
                    <w:widowControl/>
                    <w:shd w:val="clear" w:color="auto" w:fill="auto"/>
                    <w:spacing w:beforeLines="0" w:afterLines="0"/>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纬度</w:t>
                  </w:r>
                </w:p>
              </w:tc>
              <w:tc>
                <w:tcPr>
                  <w:tcW w:w="464" w:type="pct"/>
                  <w:vMerge w:val="continue"/>
                  <w:tcBorders>
                    <w:tl2br w:val="nil"/>
                    <w:tr2bl w:val="nil"/>
                  </w:tcBorders>
                  <w:shd w:val="clear" w:color="auto" w:fill="auto"/>
                  <w:noWrap w:val="0"/>
                  <w:tcMar>
                    <w:top w:w="15" w:type="dxa"/>
                    <w:left w:w="15" w:type="dxa"/>
                    <w:right w:w="15" w:type="dxa"/>
                  </w:tcMar>
                  <w:vAlign w:val="center"/>
                </w:tcPr>
                <w:p w14:paraId="310F5E20">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402" w:type="pct"/>
                  <w:vMerge w:val="continue"/>
                  <w:tcBorders>
                    <w:tl2br w:val="nil"/>
                    <w:tr2bl w:val="nil"/>
                  </w:tcBorders>
                  <w:shd w:val="clear" w:color="auto" w:fill="auto"/>
                  <w:noWrap w:val="0"/>
                  <w:tcMar>
                    <w:top w:w="15" w:type="dxa"/>
                    <w:left w:w="15" w:type="dxa"/>
                    <w:right w:w="15" w:type="dxa"/>
                  </w:tcMar>
                  <w:vAlign w:val="center"/>
                </w:tcPr>
                <w:p w14:paraId="0772FDB7">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388" w:type="pct"/>
                  <w:vMerge w:val="continue"/>
                  <w:tcBorders>
                    <w:tl2br w:val="nil"/>
                    <w:tr2bl w:val="nil"/>
                  </w:tcBorders>
                  <w:shd w:val="clear" w:color="auto" w:fill="auto"/>
                  <w:noWrap w:val="0"/>
                  <w:tcMar>
                    <w:top w:w="15" w:type="dxa"/>
                    <w:left w:w="15" w:type="dxa"/>
                    <w:right w:w="15" w:type="dxa"/>
                  </w:tcMar>
                  <w:vAlign w:val="center"/>
                </w:tcPr>
                <w:p w14:paraId="0024767B">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434" w:type="pct"/>
                  <w:vMerge w:val="continue"/>
                  <w:tcBorders>
                    <w:tl2br w:val="nil"/>
                    <w:tr2bl w:val="nil"/>
                  </w:tcBorders>
                  <w:shd w:val="clear" w:color="auto" w:fill="auto"/>
                  <w:noWrap w:val="0"/>
                  <w:tcMar>
                    <w:top w:w="15" w:type="dxa"/>
                    <w:left w:w="15" w:type="dxa"/>
                    <w:right w:w="15" w:type="dxa"/>
                  </w:tcMar>
                  <w:vAlign w:val="center"/>
                </w:tcPr>
                <w:p w14:paraId="511FA1F4">
                  <w:pPr>
                    <w:shd w:val="clear" w:color="auto" w:fill="auto"/>
                    <w:spacing w:beforeLines="0" w:afterLine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r>
            <w:tr w14:paraId="787AF03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67" w:type="pct"/>
                  <w:tcBorders>
                    <w:tl2br w:val="nil"/>
                    <w:tr2bl w:val="nil"/>
                  </w:tcBorders>
                  <w:shd w:val="clear" w:color="auto" w:fill="auto"/>
                  <w:noWrap w:val="0"/>
                  <w:tcMar>
                    <w:top w:w="15" w:type="dxa"/>
                    <w:left w:w="15" w:type="dxa"/>
                    <w:right w:w="15" w:type="dxa"/>
                  </w:tcMar>
                  <w:vAlign w:val="center"/>
                </w:tcPr>
                <w:p w14:paraId="7D525BC6">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w:t>
                  </w:r>
                </w:p>
              </w:tc>
              <w:tc>
                <w:tcPr>
                  <w:tcW w:w="402" w:type="pct"/>
                  <w:tcBorders>
                    <w:tl2br w:val="nil"/>
                    <w:tr2bl w:val="nil"/>
                  </w:tcBorders>
                  <w:shd w:val="clear" w:color="auto" w:fill="auto"/>
                  <w:noWrap w:val="0"/>
                  <w:tcMar>
                    <w:top w:w="15" w:type="dxa"/>
                    <w:left w:w="15" w:type="dxa"/>
                    <w:right w:w="15" w:type="dxa"/>
                  </w:tcMar>
                  <w:vAlign w:val="center"/>
                </w:tcPr>
                <w:p w14:paraId="04341B5E">
                  <w:pPr>
                    <w:pStyle w:val="96"/>
                    <w:spacing w:beforeLines="0" w:afterLines="0" w:line="240" w:lineRule="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DA001</w:t>
                  </w:r>
                </w:p>
              </w:tc>
              <w:tc>
                <w:tcPr>
                  <w:tcW w:w="383" w:type="pct"/>
                  <w:tcBorders>
                    <w:tl2br w:val="nil"/>
                    <w:tr2bl w:val="nil"/>
                  </w:tcBorders>
                  <w:shd w:val="clear" w:color="auto" w:fill="auto"/>
                  <w:noWrap w:val="0"/>
                  <w:tcMar>
                    <w:top w:w="15" w:type="dxa"/>
                    <w:left w:w="15" w:type="dxa"/>
                    <w:right w:w="15" w:type="dxa"/>
                  </w:tcMar>
                  <w:vAlign w:val="center"/>
                </w:tcPr>
                <w:p w14:paraId="1CD27A3E">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搅拌粉尘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排气筒</w:t>
                  </w:r>
                </w:p>
              </w:tc>
              <w:tc>
                <w:tcPr>
                  <w:tcW w:w="390" w:type="pct"/>
                  <w:tcBorders>
                    <w:tl2br w:val="nil"/>
                    <w:tr2bl w:val="nil"/>
                  </w:tcBorders>
                  <w:shd w:val="clear" w:color="auto" w:fill="auto"/>
                  <w:noWrap w:val="0"/>
                  <w:tcMar>
                    <w:top w:w="15" w:type="dxa"/>
                    <w:left w:w="15" w:type="dxa"/>
                    <w:right w:w="15" w:type="dxa"/>
                  </w:tcMar>
                  <w:vAlign w:val="center"/>
                </w:tcPr>
                <w:p w14:paraId="14ED766D">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一般排放口</w:t>
                  </w:r>
                </w:p>
              </w:tc>
              <w:tc>
                <w:tcPr>
                  <w:tcW w:w="491" w:type="pct"/>
                  <w:tcBorders>
                    <w:tl2br w:val="nil"/>
                    <w:tr2bl w:val="nil"/>
                  </w:tcBorders>
                  <w:shd w:val="clear" w:color="auto" w:fill="auto"/>
                  <w:noWrap w:val="0"/>
                  <w:tcMar>
                    <w:top w:w="15" w:type="dxa"/>
                    <w:left w:w="15" w:type="dxa"/>
                    <w:right w:w="15" w:type="dxa"/>
                  </w:tcMar>
                  <w:vAlign w:val="center"/>
                </w:tcPr>
                <w:p w14:paraId="1E96A134">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颗粒物</w:t>
                  </w:r>
                </w:p>
              </w:tc>
              <w:tc>
                <w:tcPr>
                  <w:tcW w:w="768" w:type="pct"/>
                  <w:tcBorders>
                    <w:tl2br w:val="nil"/>
                    <w:tr2bl w:val="nil"/>
                  </w:tcBorders>
                  <w:shd w:val="clear" w:color="auto" w:fill="auto"/>
                  <w:noWrap w:val="0"/>
                  <w:tcMar>
                    <w:top w:w="15" w:type="dxa"/>
                    <w:left w:w="15" w:type="dxa"/>
                    <w:right w:w="15" w:type="dxa"/>
                  </w:tcMar>
                  <w:vAlign w:val="center"/>
                </w:tcPr>
                <w:p w14:paraId="1033B99B">
                  <w:pPr>
                    <w:widowControl/>
                    <w:shd w:val="clear" w:color="auto" w:fill="auto"/>
                    <w:spacing w:beforeLines="0" w:afterLines="0"/>
                    <w:jc w:val="center"/>
                    <w:textAlignment w:val="top"/>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100.01697510</w:t>
                  </w:r>
                </w:p>
              </w:tc>
              <w:tc>
                <w:tcPr>
                  <w:tcW w:w="703" w:type="pct"/>
                  <w:tcBorders>
                    <w:tl2br w:val="nil"/>
                    <w:tr2bl w:val="nil"/>
                  </w:tcBorders>
                  <w:shd w:val="clear" w:color="auto" w:fill="auto"/>
                  <w:noWrap w:val="0"/>
                  <w:tcMar>
                    <w:top w:w="15" w:type="dxa"/>
                    <w:left w:w="15" w:type="dxa"/>
                    <w:right w:w="15" w:type="dxa"/>
                  </w:tcMar>
                  <w:vAlign w:val="center"/>
                </w:tcPr>
                <w:p w14:paraId="5F730971">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31.61714682</w:t>
                  </w:r>
                </w:p>
              </w:tc>
              <w:tc>
                <w:tcPr>
                  <w:tcW w:w="464" w:type="pct"/>
                  <w:tcBorders>
                    <w:tl2br w:val="nil"/>
                    <w:tr2bl w:val="nil"/>
                  </w:tcBorders>
                  <w:shd w:val="clear" w:color="auto" w:fill="auto"/>
                  <w:noWrap w:val="0"/>
                  <w:tcMar>
                    <w:top w:w="15" w:type="dxa"/>
                    <w:left w:w="15" w:type="dxa"/>
                    <w:right w:w="15" w:type="dxa"/>
                  </w:tcMar>
                  <w:vAlign w:val="center"/>
                </w:tcPr>
                <w:p w14:paraId="34055BFC">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15</w:t>
                  </w:r>
                </w:p>
              </w:tc>
              <w:tc>
                <w:tcPr>
                  <w:tcW w:w="402" w:type="pct"/>
                  <w:tcBorders>
                    <w:tl2br w:val="nil"/>
                    <w:tr2bl w:val="nil"/>
                  </w:tcBorders>
                  <w:shd w:val="clear" w:color="auto" w:fill="auto"/>
                  <w:noWrap w:val="0"/>
                  <w:tcMar>
                    <w:top w:w="15" w:type="dxa"/>
                    <w:left w:w="15" w:type="dxa"/>
                    <w:right w:w="15" w:type="dxa"/>
                  </w:tcMar>
                  <w:vAlign w:val="center"/>
                </w:tcPr>
                <w:p w14:paraId="08DFBF75">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30000</w:t>
                  </w:r>
                </w:p>
              </w:tc>
              <w:tc>
                <w:tcPr>
                  <w:tcW w:w="388" w:type="pct"/>
                  <w:tcBorders>
                    <w:tl2br w:val="nil"/>
                    <w:tr2bl w:val="nil"/>
                  </w:tcBorders>
                  <w:shd w:val="clear" w:color="auto" w:fill="auto"/>
                  <w:noWrap w:val="0"/>
                  <w:tcMar>
                    <w:top w:w="15" w:type="dxa"/>
                    <w:left w:w="15" w:type="dxa"/>
                    <w:right w:w="15" w:type="dxa"/>
                  </w:tcMar>
                  <w:vAlign w:val="center"/>
                </w:tcPr>
                <w:p w14:paraId="637D3708">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0.8</w:t>
                  </w:r>
                </w:p>
              </w:tc>
              <w:tc>
                <w:tcPr>
                  <w:tcW w:w="434" w:type="pct"/>
                  <w:tcBorders>
                    <w:tl2br w:val="nil"/>
                    <w:tr2bl w:val="nil"/>
                  </w:tcBorders>
                  <w:shd w:val="clear" w:color="auto" w:fill="auto"/>
                  <w:noWrap w:val="0"/>
                  <w:tcMar>
                    <w:top w:w="15" w:type="dxa"/>
                    <w:left w:w="15" w:type="dxa"/>
                    <w:right w:w="15" w:type="dxa"/>
                  </w:tcMar>
                  <w:vAlign w:val="center"/>
                </w:tcPr>
                <w:p w14:paraId="32472C48">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r>
            <w:tr w14:paraId="2D6827E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67" w:type="pct"/>
                  <w:tcBorders>
                    <w:tl2br w:val="nil"/>
                    <w:tr2bl w:val="nil"/>
                  </w:tcBorders>
                  <w:shd w:val="clear" w:color="auto" w:fill="auto"/>
                  <w:noWrap w:val="0"/>
                  <w:tcMar>
                    <w:top w:w="15" w:type="dxa"/>
                    <w:left w:w="15" w:type="dxa"/>
                    <w:right w:w="15" w:type="dxa"/>
                  </w:tcMar>
                  <w:vAlign w:val="center"/>
                </w:tcPr>
                <w:p w14:paraId="03B35C10">
                  <w:pPr>
                    <w:widowControl/>
                    <w:shd w:val="clear" w:color="auto" w:fill="auto"/>
                    <w:spacing w:beforeLines="0" w:afterLine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w:t>
                  </w:r>
                </w:p>
              </w:tc>
              <w:tc>
                <w:tcPr>
                  <w:tcW w:w="402" w:type="pct"/>
                  <w:tcBorders>
                    <w:tl2br w:val="nil"/>
                    <w:tr2bl w:val="nil"/>
                  </w:tcBorders>
                  <w:shd w:val="clear" w:color="auto" w:fill="auto"/>
                  <w:noWrap w:val="0"/>
                  <w:tcMar>
                    <w:top w:w="15" w:type="dxa"/>
                    <w:left w:w="15" w:type="dxa"/>
                    <w:right w:w="15" w:type="dxa"/>
                  </w:tcMar>
                  <w:vAlign w:val="center"/>
                </w:tcPr>
                <w:p w14:paraId="752B9F18">
                  <w:pPr>
                    <w:pStyle w:val="96"/>
                    <w:spacing w:beforeLines="0" w:afterLines="0" w:line="240" w:lineRule="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383" w:type="pct"/>
                  <w:tcBorders>
                    <w:tl2br w:val="nil"/>
                    <w:tr2bl w:val="nil"/>
                  </w:tcBorders>
                  <w:shd w:val="clear" w:color="auto" w:fill="auto"/>
                  <w:noWrap w:val="0"/>
                  <w:tcMar>
                    <w:top w:w="15" w:type="dxa"/>
                    <w:left w:w="15" w:type="dxa"/>
                    <w:right w:w="15" w:type="dxa"/>
                  </w:tcMar>
                  <w:vAlign w:val="center"/>
                </w:tcPr>
                <w:p w14:paraId="13EB3BAD">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1#水泥筒仓仓顶排气筒</w:t>
                  </w:r>
                </w:p>
              </w:tc>
              <w:tc>
                <w:tcPr>
                  <w:tcW w:w="390" w:type="pct"/>
                  <w:tcBorders>
                    <w:tl2br w:val="nil"/>
                    <w:tr2bl w:val="nil"/>
                  </w:tcBorders>
                  <w:shd w:val="clear" w:color="auto" w:fill="auto"/>
                  <w:noWrap w:val="0"/>
                  <w:tcMar>
                    <w:top w:w="15" w:type="dxa"/>
                    <w:left w:w="15" w:type="dxa"/>
                    <w:right w:w="15" w:type="dxa"/>
                  </w:tcMar>
                  <w:vAlign w:val="center"/>
                </w:tcPr>
                <w:p w14:paraId="504694B6">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一般排放口</w:t>
                  </w:r>
                </w:p>
              </w:tc>
              <w:tc>
                <w:tcPr>
                  <w:tcW w:w="491" w:type="pct"/>
                  <w:tcBorders>
                    <w:tl2br w:val="nil"/>
                    <w:tr2bl w:val="nil"/>
                  </w:tcBorders>
                  <w:shd w:val="clear" w:color="auto" w:fill="auto"/>
                  <w:noWrap w:val="0"/>
                  <w:tcMar>
                    <w:top w:w="15" w:type="dxa"/>
                    <w:left w:w="15" w:type="dxa"/>
                    <w:right w:w="15" w:type="dxa"/>
                  </w:tcMar>
                  <w:vAlign w:val="center"/>
                </w:tcPr>
                <w:p w14:paraId="263E3DCC">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68" w:type="pct"/>
                  <w:tcBorders>
                    <w:tl2br w:val="nil"/>
                    <w:tr2bl w:val="nil"/>
                  </w:tcBorders>
                  <w:shd w:val="clear" w:color="auto" w:fill="auto"/>
                  <w:noWrap w:val="0"/>
                  <w:tcMar>
                    <w:top w:w="15" w:type="dxa"/>
                    <w:left w:w="15" w:type="dxa"/>
                    <w:right w:w="15" w:type="dxa"/>
                  </w:tcMar>
                  <w:vAlign w:val="center"/>
                </w:tcPr>
                <w:p w14:paraId="50FEE04C">
                  <w:pPr>
                    <w:widowControl/>
                    <w:shd w:val="clear" w:color="auto" w:fill="auto"/>
                    <w:spacing w:beforeLines="0" w:afterLines="0"/>
                    <w:jc w:val="center"/>
                    <w:textAlignment w:val="top"/>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100.01687318</w:t>
                  </w:r>
                </w:p>
              </w:tc>
              <w:tc>
                <w:tcPr>
                  <w:tcW w:w="703" w:type="pct"/>
                  <w:tcBorders>
                    <w:tl2br w:val="nil"/>
                    <w:tr2bl w:val="nil"/>
                  </w:tcBorders>
                  <w:shd w:val="clear" w:color="auto" w:fill="auto"/>
                  <w:noWrap w:val="0"/>
                  <w:tcMar>
                    <w:top w:w="15" w:type="dxa"/>
                    <w:left w:w="15" w:type="dxa"/>
                    <w:right w:w="15" w:type="dxa"/>
                  </w:tcMar>
                  <w:vAlign w:val="center"/>
                </w:tcPr>
                <w:p w14:paraId="6F29992B">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31.61692526</w:t>
                  </w:r>
                </w:p>
              </w:tc>
              <w:tc>
                <w:tcPr>
                  <w:tcW w:w="464" w:type="pct"/>
                  <w:tcBorders>
                    <w:tl2br w:val="nil"/>
                    <w:tr2bl w:val="nil"/>
                  </w:tcBorders>
                  <w:shd w:val="clear" w:color="auto" w:fill="auto"/>
                  <w:noWrap w:val="0"/>
                  <w:tcMar>
                    <w:top w:w="15" w:type="dxa"/>
                    <w:left w:w="15" w:type="dxa"/>
                    <w:right w:w="15" w:type="dxa"/>
                  </w:tcMar>
                  <w:vAlign w:val="center"/>
                </w:tcPr>
                <w:p w14:paraId="522D3EBA">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402" w:type="pct"/>
                  <w:tcBorders>
                    <w:tl2br w:val="nil"/>
                    <w:tr2bl w:val="nil"/>
                  </w:tcBorders>
                  <w:shd w:val="clear" w:color="auto" w:fill="auto"/>
                  <w:noWrap w:val="0"/>
                  <w:tcMar>
                    <w:top w:w="15" w:type="dxa"/>
                    <w:left w:w="15" w:type="dxa"/>
                    <w:right w:w="15" w:type="dxa"/>
                  </w:tcMar>
                  <w:vAlign w:val="center"/>
                </w:tcPr>
                <w:p w14:paraId="64DF367D">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9000</w:t>
                  </w:r>
                </w:p>
              </w:tc>
              <w:tc>
                <w:tcPr>
                  <w:tcW w:w="388" w:type="pct"/>
                  <w:tcBorders>
                    <w:tl2br w:val="nil"/>
                    <w:tr2bl w:val="nil"/>
                  </w:tcBorders>
                  <w:shd w:val="clear" w:color="auto" w:fill="auto"/>
                  <w:noWrap w:val="0"/>
                  <w:tcMar>
                    <w:top w:w="15" w:type="dxa"/>
                    <w:left w:w="15" w:type="dxa"/>
                    <w:right w:w="15" w:type="dxa"/>
                  </w:tcMar>
                  <w:vAlign w:val="center"/>
                </w:tcPr>
                <w:p w14:paraId="748B4CA2">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0.3</w:t>
                  </w:r>
                </w:p>
              </w:tc>
              <w:tc>
                <w:tcPr>
                  <w:tcW w:w="434" w:type="pct"/>
                  <w:tcBorders>
                    <w:tl2br w:val="nil"/>
                    <w:tr2bl w:val="nil"/>
                  </w:tcBorders>
                  <w:shd w:val="clear" w:color="auto" w:fill="auto"/>
                  <w:noWrap w:val="0"/>
                  <w:tcMar>
                    <w:top w:w="15" w:type="dxa"/>
                    <w:left w:w="15" w:type="dxa"/>
                    <w:right w:w="15" w:type="dxa"/>
                  </w:tcMar>
                  <w:vAlign w:val="center"/>
                </w:tcPr>
                <w:p w14:paraId="2EB72F11">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25℃</w:t>
                  </w:r>
                </w:p>
              </w:tc>
            </w:tr>
            <w:tr w14:paraId="4A3FE06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67" w:type="pct"/>
                  <w:tcBorders>
                    <w:tl2br w:val="nil"/>
                    <w:tr2bl w:val="nil"/>
                  </w:tcBorders>
                  <w:shd w:val="clear" w:color="auto" w:fill="auto"/>
                  <w:noWrap w:val="0"/>
                  <w:tcMar>
                    <w:top w:w="15" w:type="dxa"/>
                    <w:left w:w="15" w:type="dxa"/>
                    <w:right w:w="15" w:type="dxa"/>
                  </w:tcMar>
                  <w:vAlign w:val="center"/>
                </w:tcPr>
                <w:p w14:paraId="4B739710">
                  <w:pPr>
                    <w:widowControl/>
                    <w:shd w:val="clear" w:color="auto" w:fill="auto"/>
                    <w:spacing w:beforeLines="0" w:afterLine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w:t>
                  </w:r>
                </w:p>
              </w:tc>
              <w:tc>
                <w:tcPr>
                  <w:tcW w:w="402" w:type="pct"/>
                  <w:tcBorders>
                    <w:tl2br w:val="nil"/>
                    <w:tr2bl w:val="nil"/>
                  </w:tcBorders>
                  <w:shd w:val="clear" w:color="auto" w:fill="auto"/>
                  <w:noWrap w:val="0"/>
                  <w:tcMar>
                    <w:top w:w="15" w:type="dxa"/>
                    <w:left w:w="15" w:type="dxa"/>
                    <w:right w:w="15" w:type="dxa"/>
                  </w:tcMar>
                  <w:vAlign w:val="center"/>
                </w:tcPr>
                <w:p w14:paraId="736D50B6">
                  <w:pPr>
                    <w:pStyle w:val="96"/>
                    <w:spacing w:beforeLines="0" w:afterLines="0" w:line="240" w:lineRule="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383" w:type="pct"/>
                  <w:tcBorders>
                    <w:tl2br w:val="nil"/>
                    <w:tr2bl w:val="nil"/>
                  </w:tcBorders>
                  <w:shd w:val="clear" w:color="auto" w:fill="auto"/>
                  <w:noWrap w:val="0"/>
                  <w:tcMar>
                    <w:top w:w="15" w:type="dxa"/>
                    <w:left w:w="15" w:type="dxa"/>
                    <w:right w:w="15" w:type="dxa"/>
                  </w:tcMar>
                  <w:vAlign w:val="center"/>
                </w:tcPr>
                <w:p w14:paraId="6AC8C38B">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2#水泥筒仓仓顶排气筒</w:t>
                  </w:r>
                </w:p>
              </w:tc>
              <w:tc>
                <w:tcPr>
                  <w:tcW w:w="390" w:type="pct"/>
                  <w:tcBorders>
                    <w:tl2br w:val="nil"/>
                    <w:tr2bl w:val="nil"/>
                  </w:tcBorders>
                  <w:shd w:val="clear" w:color="auto" w:fill="auto"/>
                  <w:noWrap w:val="0"/>
                  <w:tcMar>
                    <w:top w:w="15" w:type="dxa"/>
                    <w:left w:w="15" w:type="dxa"/>
                    <w:right w:w="15" w:type="dxa"/>
                  </w:tcMar>
                  <w:vAlign w:val="center"/>
                </w:tcPr>
                <w:p w14:paraId="68DD8EB2">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一般排放口</w:t>
                  </w:r>
                </w:p>
              </w:tc>
              <w:tc>
                <w:tcPr>
                  <w:tcW w:w="491" w:type="pct"/>
                  <w:tcBorders>
                    <w:tl2br w:val="nil"/>
                    <w:tr2bl w:val="nil"/>
                  </w:tcBorders>
                  <w:shd w:val="clear" w:color="auto" w:fill="auto"/>
                  <w:noWrap w:val="0"/>
                  <w:tcMar>
                    <w:top w:w="15" w:type="dxa"/>
                    <w:left w:w="15" w:type="dxa"/>
                    <w:right w:w="15" w:type="dxa"/>
                  </w:tcMar>
                  <w:vAlign w:val="center"/>
                </w:tcPr>
                <w:p w14:paraId="14A34582">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68" w:type="pct"/>
                  <w:tcBorders>
                    <w:tl2br w:val="nil"/>
                    <w:tr2bl w:val="nil"/>
                  </w:tcBorders>
                  <w:shd w:val="clear" w:color="auto" w:fill="auto"/>
                  <w:noWrap w:val="0"/>
                  <w:tcMar>
                    <w:top w:w="15" w:type="dxa"/>
                    <w:left w:w="15" w:type="dxa"/>
                    <w:right w:w="15" w:type="dxa"/>
                  </w:tcMar>
                  <w:vAlign w:val="center"/>
                </w:tcPr>
                <w:p w14:paraId="1985D383">
                  <w:pPr>
                    <w:widowControl/>
                    <w:shd w:val="clear" w:color="auto" w:fill="auto"/>
                    <w:spacing w:beforeLines="0" w:afterLines="0"/>
                    <w:jc w:val="center"/>
                    <w:textAlignment w:val="top"/>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100.01680344</w:t>
                  </w:r>
                </w:p>
              </w:tc>
              <w:tc>
                <w:tcPr>
                  <w:tcW w:w="703" w:type="pct"/>
                  <w:tcBorders>
                    <w:tl2br w:val="nil"/>
                    <w:tr2bl w:val="nil"/>
                  </w:tcBorders>
                  <w:shd w:val="clear" w:color="auto" w:fill="auto"/>
                  <w:noWrap w:val="0"/>
                  <w:tcMar>
                    <w:top w:w="15" w:type="dxa"/>
                    <w:left w:w="15" w:type="dxa"/>
                    <w:right w:w="15" w:type="dxa"/>
                  </w:tcMar>
                  <w:vAlign w:val="center"/>
                </w:tcPr>
                <w:p w14:paraId="7FA6532C">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31.61697551</w:t>
                  </w:r>
                </w:p>
              </w:tc>
              <w:tc>
                <w:tcPr>
                  <w:tcW w:w="464" w:type="pct"/>
                  <w:tcBorders>
                    <w:tl2br w:val="nil"/>
                    <w:tr2bl w:val="nil"/>
                  </w:tcBorders>
                  <w:shd w:val="clear" w:color="auto" w:fill="auto"/>
                  <w:noWrap w:val="0"/>
                  <w:tcMar>
                    <w:top w:w="15" w:type="dxa"/>
                    <w:left w:w="15" w:type="dxa"/>
                    <w:right w:w="15" w:type="dxa"/>
                  </w:tcMar>
                  <w:vAlign w:val="center"/>
                </w:tcPr>
                <w:p w14:paraId="67E7E105">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402" w:type="pct"/>
                  <w:tcBorders>
                    <w:tl2br w:val="nil"/>
                    <w:tr2bl w:val="nil"/>
                  </w:tcBorders>
                  <w:shd w:val="clear" w:color="auto" w:fill="auto"/>
                  <w:noWrap w:val="0"/>
                  <w:tcMar>
                    <w:top w:w="15" w:type="dxa"/>
                    <w:left w:w="15" w:type="dxa"/>
                    <w:right w:w="15" w:type="dxa"/>
                  </w:tcMar>
                  <w:vAlign w:val="center"/>
                </w:tcPr>
                <w:p w14:paraId="21FAC2D7">
                  <w:pPr>
                    <w:widowControl/>
                    <w:shd w:val="clear" w:color="auto" w:fill="auto"/>
                    <w:spacing w:beforeLines="0" w:afterLines="0"/>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9000</w:t>
                  </w:r>
                </w:p>
              </w:tc>
              <w:tc>
                <w:tcPr>
                  <w:tcW w:w="388" w:type="pct"/>
                  <w:tcBorders>
                    <w:tl2br w:val="nil"/>
                    <w:tr2bl w:val="nil"/>
                  </w:tcBorders>
                  <w:shd w:val="clear" w:color="auto" w:fill="auto"/>
                  <w:noWrap w:val="0"/>
                  <w:tcMar>
                    <w:top w:w="15" w:type="dxa"/>
                    <w:left w:w="15" w:type="dxa"/>
                    <w:right w:w="15" w:type="dxa"/>
                  </w:tcMar>
                  <w:vAlign w:val="center"/>
                </w:tcPr>
                <w:p w14:paraId="664313D5">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0.3</w:t>
                  </w:r>
                </w:p>
              </w:tc>
              <w:tc>
                <w:tcPr>
                  <w:tcW w:w="434" w:type="pct"/>
                  <w:tcBorders>
                    <w:tl2br w:val="nil"/>
                    <w:tr2bl w:val="nil"/>
                  </w:tcBorders>
                  <w:shd w:val="clear" w:color="auto" w:fill="auto"/>
                  <w:noWrap w:val="0"/>
                  <w:tcMar>
                    <w:top w:w="15" w:type="dxa"/>
                    <w:left w:w="15" w:type="dxa"/>
                    <w:right w:w="15" w:type="dxa"/>
                  </w:tcMar>
                  <w:vAlign w:val="center"/>
                </w:tcPr>
                <w:p w14:paraId="210842CA">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25℃</w:t>
                  </w:r>
                </w:p>
              </w:tc>
            </w:tr>
            <w:tr w14:paraId="5218489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67" w:type="pct"/>
                  <w:tcBorders>
                    <w:tl2br w:val="nil"/>
                    <w:tr2bl w:val="nil"/>
                  </w:tcBorders>
                  <w:shd w:val="clear" w:color="auto" w:fill="auto"/>
                  <w:noWrap w:val="0"/>
                  <w:tcMar>
                    <w:top w:w="15" w:type="dxa"/>
                    <w:left w:w="15" w:type="dxa"/>
                    <w:right w:w="15" w:type="dxa"/>
                  </w:tcMar>
                  <w:vAlign w:val="center"/>
                </w:tcPr>
                <w:p w14:paraId="7B43B5D4">
                  <w:pPr>
                    <w:widowControl/>
                    <w:shd w:val="clear" w:color="auto" w:fill="auto"/>
                    <w:spacing w:beforeLines="0" w:afterLine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w:t>
                  </w:r>
                </w:p>
              </w:tc>
              <w:tc>
                <w:tcPr>
                  <w:tcW w:w="402" w:type="pct"/>
                  <w:tcBorders>
                    <w:tl2br w:val="nil"/>
                    <w:tr2bl w:val="nil"/>
                  </w:tcBorders>
                  <w:shd w:val="clear" w:color="auto" w:fill="auto"/>
                  <w:noWrap w:val="0"/>
                  <w:tcMar>
                    <w:top w:w="15" w:type="dxa"/>
                    <w:left w:w="15" w:type="dxa"/>
                    <w:right w:w="15" w:type="dxa"/>
                  </w:tcMar>
                  <w:vAlign w:val="center"/>
                </w:tcPr>
                <w:p w14:paraId="58D5A077">
                  <w:pPr>
                    <w:pStyle w:val="96"/>
                    <w:spacing w:beforeLines="0" w:afterLines="0" w:line="240" w:lineRule="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383" w:type="pct"/>
                  <w:tcBorders>
                    <w:tl2br w:val="nil"/>
                    <w:tr2bl w:val="nil"/>
                  </w:tcBorders>
                  <w:shd w:val="clear" w:color="auto" w:fill="auto"/>
                  <w:noWrap w:val="0"/>
                  <w:tcMar>
                    <w:top w:w="15" w:type="dxa"/>
                    <w:left w:w="15" w:type="dxa"/>
                    <w:right w:w="15" w:type="dxa"/>
                  </w:tcMar>
                  <w:vAlign w:val="center"/>
                </w:tcPr>
                <w:p w14:paraId="56B4700F">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粉煤灰筒仓仓顶排气筒</w:t>
                  </w:r>
                </w:p>
              </w:tc>
              <w:tc>
                <w:tcPr>
                  <w:tcW w:w="390" w:type="pct"/>
                  <w:tcBorders>
                    <w:tl2br w:val="nil"/>
                    <w:tr2bl w:val="nil"/>
                  </w:tcBorders>
                  <w:shd w:val="clear" w:color="auto" w:fill="auto"/>
                  <w:noWrap w:val="0"/>
                  <w:tcMar>
                    <w:top w:w="15" w:type="dxa"/>
                    <w:left w:w="15" w:type="dxa"/>
                    <w:right w:w="15" w:type="dxa"/>
                  </w:tcMar>
                  <w:vAlign w:val="center"/>
                </w:tcPr>
                <w:p w14:paraId="639E3068">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一般排放口</w:t>
                  </w:r>
                </w:p>
              </w:tc>
              <w:tc>
                <w:tcPr>
                  <w:tcW w:w="491" w:type="pct"/>
                  <w:tcBorders>
                    <w:tl2br w:val="nil"/>
                    <w:tr2bl w:val="nil"/>
                  </w:tcBorders>
                  <w:shd w:val="clear" w:color="auto" w:fill="auto"/>
                  <w:noWrap w:val="0"/>
                  <w:tcMar>
                    <w:top w:w="15" w:type="dxa"/>
                    <w:left w:w="15" w:type="dxa"/>
                    <w:right w:w="15" w:type="dxa"/>
                  </w:tcMar>
                  <w:vAlign w:val="center"/>
                </w:tcPr>
                <w:p w14:paraId="5F7571CA">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68" w:type="pct"/>
                  <w:tcBorders>
                    <w:tl2br w:val="nil"/>
                    <w:tr2bl w:val="nil"/>
                  </w:tcBorders>
                  <w:shd w:val="clear" w:color="auto" w:fill="auto"/>
                  <w:noWrap w:val="0"/>
                  <w:tcMar>
                    <w:top w:w="15" w:type="dxa"/>
                    <w:left w:w="15" w:type="dxa"/>
                    <w:right w:w="15" w:type="dxa"/>
                  </w:tcMar>
                  <w:vAlign w:val="center"/>
                </w:tcPr>
                <w:p w14:paraId="38BF2E7D">
                  <w:pPr>
                    <w:widowControl/>
                    <w:shd w:val="clear" w:color="auto" w:fill="auto"/>
                    <w:spacing w:beforeLines="0" w:afterLines="0"/>
                    <w:jc w:val="center"/>
                    <w:textAlignment w:val="top"/>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100.01675516</w:t>
                  </w:r>
                </w:p>
              </w:tc>
              <w:tc>
                <w:tcPr>
                  <w:tcW w:w="703" w:type="pct"/>
                  <w:tcBorders>
                    <w:tl2br w:val="nil"/>
                    <w:tr2bl w:val="nil"/>
                  </w:tcBorders>
                  <w:shd w:val="clear" w:color="auto" w:fill="auto"/>
                  <w:noWrap w:val="0"/>
                  <w:tcMar>
                    <w:top w:w="15" w:type="dxa"/>
                    <w:left w:w="15" w:type="dxa"/>
                    <w:right w:w="15" w:type="dxa"/>
                  </w:tcMar>
                  <w:vAlign w:val="center"/>
                </w:tcPr>
                <w:p w14:paraId="6B141192">
                  <w:pPr>
                    <w:widowControl/>
                    <w:shd w:val="clear" w:color="auto" w:fill="auto"/>
                    <w:spacing w:beforeLines="0" w:afterLine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31.61704860</w:t>
                  </w:r>
                </w:p>
              </w:tc>
              <w:tc>
                <w:tcPr>
                  <w:tcW w:w="464" w:type="pct"/>
                  <w:tcBorders>
                    <w:tl2br w:val="nil"/>
                    <w:tr2bl w:val="nil"/>
                  </w:tcBorders>
                  <w:shd w:val="clear" w:color="auto" w:fill="auto"/>
                  <w:noWrap w:val="0"/>
                  <w:tcMar>
                    <w:top w:w="15" w:type="dxa"/>
                    <w:left w:w="15" w:type="dxa"/>
                    <w:right w:w="15" w:type="dxa"/>
                  </w:tcMar>
                  <w:vAlign w:val="center"/>
                </w:tcPr>
                <w:p w14:paraId="6BD61932">
                  <w:pPr>
                    <w:widowControl/>
                    <w:shd w:val="clear" w:color="auto" w:fill="auto"/>
                    <w:spacing w:beforeLines="0" w:afterLine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402" w:type="pct"/>
                  <w:tcBorders>
                    <w:tl2br w:val="nil"/>
                    <w:tr2bl w:val="nil"/>
                  </w:tcBorders>
                  <w:shd w:val="clear" w:color="auto" w:fill="auto"/>
                  <w:noWrap w:val="0"/>
                  <w:tcMar>
                    <w:top w:w="15" w:type="dxa"/>
                    <w:left w:w="15" w:type="dxa"/>
                    <w:right w:w="15" w:type="dxa"/>
                  </w:tcMar>
                  <w:vAlign w:val="center"/>
                </w:tcPr>
                <w:p w14:paraId="442B1A53">
                  <w:pPr>
                    <w:widowControl/>
                    <w:shd w:val="clear" w:color="auto" w:fill="auto"/>
                    <w:spacing w:beforeLines="0" w:afterLines="0"/>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9000</w:t>
                  </w:r>
                </w:p>
              </w:tc>
              <w:tc>
                <w:tcPr>
                  <w:tcW w:w="388" w:type="pct"/>
                  <w:tcBorders>
                    <w:tl2br w:val="nil"/>
                    <w:tr2bl w:val="nil"/>
                  </w:tcBorders>
                  <w:shd w:val="clear" w:color="auto" w:fill="auto"/>
                  <w:noWrap w:val="0"/>
                  <w:tcMar>
                    <w:top w:w="15" w:type="dxa"/>
                    <w:left w:w="15" w:type="dxa"/>
                    <w:right w:w="15" w:type="dxa"/>
                  </w:tcMar>
                  <w:vAlign w:val="center"/>
                </w:tcPr>
                <w:p w14:paraId="029AD17E">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0.3</w:t>
                  </w:r>
                </w:p>
              </w:tc>
              <w:tc>
                <w:tcPr>
                  <w:tcW w:w="434" w:type="pct"/>
                  <w:tcBorders>
                    <w:tl2br w:val="nil"/>
                    <w:tr2bl w:val="nil"/>
                  </w:tcBorders>
                  <w:shd w:val="clear" w:color="auto" w:fill="auto"/>
                  <w:noWrap w:val="0"/>
                  <w:tcMar>
                    <w:top w:w="15" w:type="dxa"/>
                    <w:left w:w="15" w:type="dxa"/>
                    <w:right w:w="15" w:type="dxa"/>
                  </w:tcMar>
                  <w:vAlign w:val="center"/>
                </w:tcPr>
                <w:p w14:paraId="09CA7FC0">
                  <w:pPr>
                    <w:widowControl/>
                    <w:shd w:val="clear" w:color="auto" w:fill="auto"/>
                    <w:spacing w:beforeLines="0" w:afterLine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25℃</w:t>
                  </w:r>
                </w:p>
              </w:tc>
            </w:tr>
          </w:tbl>
          <w:p w14:paraId="206F1AA6">
            <w:pPr>
              <w:keepNext w:val="0"/>
              <w:keepLines w:val="0"/>
              <w:pageBreakBefore w:val="0"/>
              <w:widowControl w:val="0"/>
              <w:numPr>
                <w:ilvl w:val="-1"/>
                <w:numId w:val="0"/>
              </w:numPr>
              <w:kinsoku/>
              <w:wordWrap/>
              <w:overflowPunct/>
              <w:topLinePunct w:val="0"/>
              <w:autoSpaceDE/>
              <w:autoSpaceDN/>
              <w:bidi w:val="0"/>
              <w:adjustRightInd/>
              <w:snapToGrid/>
              <w:spacing w:before="0" w:beforeLines="0" w:after="0" w:afterLines="0"/>
              <w:ind w:left="0" w:firstLine="0"/>
              <w:jc w:val="center"/>
              <w:textAlignment w:val="auto"/>
              <w:rPr>
                <w:rFonts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表4-4  </w:t>
            </w:r>
            <w:r>
              <w:rPr>
                <w:rFonts w:ascii="Times New Roman" w:hAnsi="Times New Roman" w:eastAsia="宋体" w:cs="Times New Roman"/>
                <w:b/>
                <w:color w:val="000000" w:themeColor="text1"/>
                <w:szCs w:val="21"/>
                <w:highlight w:val="none"/>
                <w14:textFill>
                  <w14:solidFill>
                    <w14:schemeClr w14:val="tx1"/>
                  </w14:solidFill>
                </w14:textFill>
              </w:rPr>
              <w:t>本项目建成后大气污染物有组织排放核算表</w:t>
            </w:r>
          </w:p>
          <w:tbl>
            <w:tblPr>
              <w:tblStyle w:val="3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29"/>
              <w:gridCol w:w="1273"/>
              <w:gridCol w:w="952"/>
              <w:gridCol w:w="746"/>
              <w:gridCol w:w="536"/>
              <w:gridCol w:w="1528"/>
              <w:gridCol w:w="1348"/>
              <w:gridCol w:w="1254"/>
            </w:tblGrid>
            <w:tr w14:paraId="05B12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66" w:type="pct"/>
                  <w:tcBorders>
                    <w:tl2br w:val="nil"/>
                    <w:tr2bl w:val="nil"/>
                  </w:tcBorders>
                  <w:shd w:val="clear" w:color="auto" w:fill="auto"/>
                  <w:noWrap w:val="0"/>
                  <w:tcMar>
                    <w:top w:w="0" w:type="dxa"/>
                    <w:left w:w="57" w:type="dxa"/>
                    <w:bottom w:w="0" w:type="dxa"/>
                    <w:right w:w="57" w:type="dxa"/>
                  </w:tcMar>
                  <w:vAlign w:val="center"/>
                </w:tcPr>
                <w:p w14:paraId="17FC9965">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789" w:type="pct"/>
                  <w:tcBorders>
                    <w:tl2br w:val="nil"/>
                    <w:tr2bl w:val="nil"/>
                  </w:tcBorders>
                  <w:shd w:val="clear" w:color="auto" w:fill="auto"/>
                  <w:noWrap w:val="0"/>
                  <w:tcMar>
                    <w:top w:w="0" w:type="dxa"/>
                    <w:left w:w="57" w:type="dxa"/>
                    <w:bottom w:w="0" w:type="dxa"/>
                    <w:right w:w="57" w:type="dxa"/>
                  </w:tcMar>
                  <w:vAlign w:val="center"/>
                </w:tcPr>
                <w:p w14:paraId="3338C6B0">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产污点</w:t>
                  </w:r>
                </w:p>
              </w:tc>
              <w:tc>
                <w:tcPr>
                  <w:tcW w:w="590" w:type="pct"/>
                  <w:tcBorders>
                    <w:tl2br w:val="nil"/>
                    <w:tr2bl w:val="nil"/>
                  </w:tcBorders>
                  <w:shd w:val="clear" w:color="auto" w:fill="auto"/>
                  <w:noWrap w:val="0"/>
                  <w:tcMar>
                    <w:top w:w="0" w:type="dxa"/>
                    <w:left w:w="57" w:type="dxa"/>
                    <w:bottom w:w="0" w:type="dxa"/>
                    <w:right w:w="57" w:type="dxa"/>
                  </w:tcMar>
                  <w:vAlign w:val="center"/>
                </w:tcPr>
                <w:p w14:paraId="0BE64610">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排放口编号</w:t>
                  </w:r>
                </w:p>
              </w:tc>
              <w:tc>
                <w:tcPr>
                  <w:tcW w:w="462" w:type="pct"/>
                  <w:tcBorders>
                    <w:tl2br w:val="nil"/>
                    <w:tr2bl w:val="nil"/>
                  </w:tcBorders>
                  <w:shd w:val="clear" w:color="auto" w:fill="auto"/>
                  <w:noWrap w:val="0"/>
                  <w:tcMar>
                    <w:top w:w="0" w:type="dxa"/>
                    <w:left w:w="57" w:type="dxa"/>
                    <w:bottom w:w="0" w:type="dxa"/>
                    <w:right w:w="57" w:type="dxa"/>
                  </w:tcMar>
                  <w:vAlign w:val="center"/>
                </w:tcPr>
                <w:p w14:paraId="2F7C1D8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污染工序</w:t>
                  </w:r>
                </w:p>
              </w:tc>
              <w:tc>
                <w:tcPr>
                  <w:tcW w:w="332" w:type="pct"/>
                  <w:tcBorders>
                    <w:tl2br w:val="nil"/>
                    <w:tr2bl w:val="nil"/>
                  </w:tcBorders>
                  <w:shd w:val="clear" w:color="auto" w:fill="auto"/>
                  <w:noWrap w:val="0"/>
                  <w:tcMar>
                    <w:top w:w="0" w:type="dxa"/>
                    <w:left w:w="57" w:type="dxa"/>
                    <w:bottom w:w="0" w:type="dxa"/>
                    <w:right w:w="57" w:type="dxa"/>
                  </w:tcMar>
                  <w:vAlign w:val="center"/>
                </w:tcPr>
                <w:p w14:paraId="45132AD1">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947" w:type="pct"/>
                  <w:tcBorders>
                    <w:tl2br w:val="nil"/>
                    <w:tr2bl w:val="nil"/>
                  </w:tcBorders>
                  <w:shd w:val="clear" w:color="auto" w:fill="auto"/>
                  <w:noWrap w:val="0"/>
                  <w:tcMar>
                    <w:top w:w="0" w:type="dxa"/>
                    <w:left w:w="57" w:type="dxa"/>
                    <w:bottom w:w="0" w:type="dxa"/>
                    <w:right w:w="57" w:type="dxa"/>
                  </w:tcMar>
                  <w:vAlign w:val="center"/>
                </w:tcPr>
                <w:p w14:paraId="781DBA20">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核算排放浓度/(mg/m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833" w:type="pct"/>
                  <w:tcBorders>
                    <w:tl2br w:val="nil"/>
                    <w:tr2bl w:val="nil"/>
                  </w:tcBorders>
                  <w:shd w:val="clear" w:color="auto" w:fill="auto"/>
                  <w:noWrap w:val="0"/>
                  <w:tcMar>
                    <w:top w:w="0" w:type="dxa"/>
                    <w:left w:w="57" w:type="dxa"/>
                    <w:bottom w:w="0" w:type="dxa"/>
                    <w:right w:w="57" w:type="dxa"/>
                  </w:tcMar>
                  <w:vAlign w:val="center"/>
                </w:tcPr>
                <w:p w14:paraId="3956A25C">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核算排放速率/(kg/h)</w:t>
                  </w:r>
                </w:p>
              </w:tc>
              <w:tc>
                <w:tcPr>
                  <w:tcW w:w="777" w:type="pct"/>
                  <w:tcBorders>
                    <w:tl2br w:val="nil"/>
                    <w:tr2bl w:val="nil"/>
                  </w:tcBorders>
                  <w:shd w:val="clear" w:color="auto" w:fill="auto"/>
                  <w:noWrap w:val="0"/>
                  <w:tcMar>
                    <w:top w:w="0" w:type="dxa"/>
                    <w:left w:w="57" w:type="dxa"/>
                    <w:bottom w:w="0" w:type="dxa"/>
                    <w:right w:w="57" w:type="dxa"/>
                  </w:tcMar>
                  <w:vAlign w:val="center"/>
                </w:tcPr>
                <w:p w14:paraId="3614A114">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核算年排放量/(t/a)</w:t>
                  </w:r>
                </w:p>
              </w:tc>
            </w:tr>
            <w:tr w14:paraId="3B927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66" w:type="pct"/>
                  <w:tcBorders>
                    <w:tl2br w:val="nil"/>
                    <w:tr2bl w:val="nil"/>
                  </w:tcBorders>
                  <w:shd w:val="clear" w:color="auto" w:fill="auto"/>
                  <w:noWrap w:val="0"/>
                  <w:tcMar>
                    <w:left w:w="57" w:type="dxa"/>
                    <w:right w:w="57" w:type="dxa"/>
                  </w:tcMar>
                  <w:vAlign w:val="center"/>
                </w:tcPr>
                <w:p w14:paraId="28FB2D73">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789" w:type="pct"/>
                  <w:tcBorders>
                    <w:tl2br w:val="nil"/>
                    <w:tr2bl w:val="nil"/>
                  </w:tcBorders>
                  <w:shd w:val="clear" w:color="auto" w:fill="auto"/>
                  <w:noWrap w:val="0"/>
                  <w:tcMar>
                    <w:left w:w="57" w:type="dxa"/>
                    <w:right w:w="57" w:type="dxa"/>
                  </w:tcMar>
                  <w:vAlign w:val="center"/>
                </w:tcPr>
                <w:p w14:paraId="4981309C">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搅拌粉尘排气筒</w:t>
                  </w:r>
                </w:p>
              </w:tc>
              <w:tc>
                <w:tcPr>
                  <w:tcW w:w="590" w:type="pct"/>
                  <w:tcBorders>
                    <w:tl2br w:val="nil"/>
                    <w:tr2bl w:val="nil"/>
                  </w:tcBorders>
                  <w:shd w:val="clear" w:color="auto" w:fill="auto"/>
                  <w:noWrap w:val="0"/>
                  <w:tcMar>
                    <w:left w:w="57" w:type="dxa"/>
                    <w:right w:w="57" w:type="dxa"/>
                  </w:tcMar>
                  <w:vAlign w:val="center"/>
                </w:tcPr>
                <w:p w14:paraId="568F223D">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DA001</w:t>
                  </w:r>
                </w:p>
              </w:tc>
              <w:tc>
                <w:tcPr>
                  <w:tcW w:w="462" w:type="pct"/>
                  <w:tcBorders>
                    <w:tl2br w:val="nil"/>
                    <w:tr2bl w:val="nil"/>
                  </w:tcBorders>
                  <w:shd w:val="clear" w:color="auto" w:fill="auto"/>
                  <w:noWrap w:val="0"/>
                  <w:tcMar>
                    <w:left w:w="57" w:type="dxa"/>
                    <w:right w:w="57" w:type="dxa"/>
                  </w:tcMar>
                  <w:vAlign w:val="center"/>
                </w:tcPr>
                <w:p w14:paraId="3643A46F">
                  <w:pPr>
                    <w:widowControl/>
                    <w:adjustRightInd w:val="0"/>
                    <w:snapToGrid w:val="0"/>
                    <w:spacing w:beforeLines="0" w:afterLine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搅拌</w:t>
                  </w:r>
                </w:p>
              </w:tc>
              <w:tc>
                <w:tcPr>
                  <w:tcW w:w="332" w:type="pct"/>
                  <w:tcBorders>
                    <w:tl2br w:val="nil"/>
                    <w:tr2bl w:val="nil"/>
                  </w:tcBorders>
                  <w:shd w:val="clear" w:color="auto" w:fill="auto"/>
                  <w:noWrap w:val="0"/>
                  <w:tcMar>
                    <w:left w:w="57" w:type="dxa"/>
                    <w:right w:w="57" w:type="dxa"/>
                  </w:tcMar>
                  <w:vAlign w:val="center"/>
                </w:tcPr>
                <w:p w14:paraId="1FC90B59">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颗粒物</w:t>
                  </w:r>
                </w:p>
              </w:tc>
              <w:tc>
                <w:tcPr>
                  <w:tcW w:w="947" w:type="pct"/>
                  <w:tcBorders>
                    <w:tl2br w:val="nil"/>
                    <w:tr2bl w:val="nil"/>
                  </w:tcBorders>
                  <w:shd w:val="clear" w:color="auto" w:fill="auto"/>
                  <w:noWrap w:val="0"/>
                  <w:tcMar>
                    <w:left w:w="57" w:type="dxa"/>
                    <w:right w:w="57" w:type="dxa"/>
                  </w:tcMar>
                  <w:vAlign w:val="center"/>
                </w:tcPr>
                <w:p w14:paraId="338834C3">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10</w:t>
                  </w:r>
                </w:p>
              </w:tc>
              <w:tc>
                <w:tcPr>
                  <w:tcW w:w="833" w:type="pct"/>
                  <w:tcBorders>
                    <w:tl2br w:val="nil"/>
                    <w:tr2bl w:val="nil"/>
                  </w:tcBorders>
                  <w:shd w:val="clear" w:color="auto" w:fill="auto"/>
                  <w:noWrap w:val="0"/>
                  <w:tcMar>
                    <w:left w:w="57" w:type="dxa"/>
                    <w:right w:w="57" w:type="dxa"/>
                  </w:tcMar>
                  <w:vAlign w:val="center"/>
                </w:tcPr>
                <w:p w14:paraId="3EF4D344">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w:t>
                  </w:r>
                </w:p>
              </w:tc>
              <w:tc>
                <w:tcPr>
                  <w:tcW w:w="777" w:type="pct"/>
                  <w:tcBorders>
                    <w:tl2br w:val="nil"/>
                    <w:tr2bl w:val="nil"/>
                  </w:tcBorders>
                  <w:shd w:val="clear" w:color="auto" w:fill="auto"/>
                  <w:noWrap w:val="0"/>
                  <w:tcMar>
                    <w:left w:w="57" w:type="dxa"/>
                    <w:right w:w="57" w:type="dxa"/>
                  </w:tcMar>
                  <w:vAlign w:val="center"/>
                </w:tcPr>
                <w:p w14:paraId="6D3FD458">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0.5616</w:t>
                  </w:r>
                </w:p>
              </w:tc>
            </w:tr>
            <w:tr w14:paraId="433076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66" w:type="pct"/>
                  <w:tcBorders>
                    <w:tl2br w:val="nil"/>
                    <w:tr2bl w:val="nil"/>
                  </w:tcBorders>
                  <w:shd w:val="clear" w:color="auto" w:fill="auto"/>
                  <w:noWrap w:val="0"/>
                  <w:tcMar>
                    <w:left w:w="57" w:type="dxa"/>
                    <w:right w:w="57" w:type="dxa"/>
                  </w:tcMar>
                  <w:vAlign w:val="center"/>
                </w:tcPr>
                <w:p w14:paraId="49B0C92F">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789" w:type="pct"/>
                  <w:tcBorders>
                    <w:tl2br w:val="nil"/>
                    <w:tr2bl w:val="nil"/>
                  </w:tcBorders>
                  <w:shd w:val="clear" w:color="auto" w:fill="auto"/>
                  <w:noWrap w:val="0"/>
                  <w:tcMar>
                    <w:left w:w="57" w:type="dxa"/>
                    <w:right w:w="57" w:type="dxa"/>
                  </w:tcMar>
                  <w:vAlign w:val="center"/>
                </w:tcPr>
                <w:p w14:paraId="1A249F0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1#水泥筒仓仓顶排气筒</w:t>
                  </w:r>
                </w:p>
              </w:tc>
              <w:tc>
                <w:tcPr>
                  <w:tcW w:w="590" w:type="pct"/>
                  <w:tcBorders>
                    <w:tl2br w:val="nil"/>
                    <w:tr2bl w:val="nil"/>
                  </w:tcBorders>
                  <w:shd w:val="clear" w:color="auto" w:fill="auto"/>
                  <w:noWrap w:val="0"/>
                  <w:tcMar>
                    <w:left w:w="57" w:type="dxa"/>
                    <w:right w:w="57" w:type="dxa"/>
                  </w:tcMar>
                  <w:vAlign w:val="center"/>
                </w:tcPr>
                <w:p w14:paraId="243BDAE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DA002</w:t>
                  </w:r>
                </w:p>
              </w:tc>
              <w:tc>
                <w:tcPr>
                  <w:tcW w:w="462" w:type="pct"/>
                  <w:tcBorders>
                    <w:tl2br w:val="nil"/>
                    <w:tr2bl w:val="nil"/>
                  </w:tcBorders>
                  <w:shd w:val="clear" w:color="auto" w:fill="auto"/>
                  <w:noWrap w:val="0"/>
                  <w:tcMar>
                    <w:left w:w="57" w:type="dxa"/>
                    <w:right w:w="57" w:type="dxa"/>
                  </w:tcMar>
                  <w:vAlign w:val="center"/>
                </w:tcPr>
                <w:p w14:paraId="200E7653">
                  <w:pPr>
                    <w:widowControl/>
                    <w:adjustRightInd w:val="0"/>
                    <w:snapToGrid w:val="0"/>
                    <w:spacing w:beforeLines="0" w:afterLine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水泥筒仓</w:t>
                  </w:r>
                </w:p>
              </w:tc>
              <w:tc>
                <w:tcPr>
                  <w:tcW w:w="332" w:type="pct"/>
                  <w:tcBorders>
                    <w:tl2br w:val="nil"/>
                    <w:tr2bl w:val="nil"/>
                  </w:tcBorders>
                  <w:shd w:val="clear" w:color="auto" w:fill="auto"/>
                  <w:noWrap w:val="0"/>
                  <w:tcMar>
                    <w:left w:w="57" w:type="dxa"/>
                    <w:right w:w="57" w:type="dxa"/>
                  </w:tcMar>
                  <w:vAlign w:val="center"/>
                </w:tcPr>
                <w:p w14:paraId="28F1AC87">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947" w:type="pct"/>
                  <w:tcBorders>
                    <w:tl2br w:val="nil"/>
                    <w:tr2bl w:val="nil"/>
                  </w:tcBorders>
                  <w:shd w:val="clear" w:color="auto" w:fill="auto"/>
                  <w:noWrap w:val="0"/>
                  <w:tcMar>
                    <w:left w:w="57" w:type="dxa"/>
                    <w:right w:w="57" w:type="dxa"/>
                  </w:tcMar>
                  <w:vAlign w:val="center"/>
                </w:tcPr>
                <w:p w14:paraId="744753C7">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33" w:type="pct"/>
                  <w:tcBorders>
                    <w:tl2br w:val="nil"/>
                    <w:tr2bl w:val="nil"/>
                  </w:tcBorders>
                  <w:shd w:val="clear" w:color="auto" w:fill="auto"/>
                  <w:noWrap w:val="0"/>
                  <w:tcMar>
                    <w:left w:w="57" w:type="dxa"/>
                    <w:right w:w="57" w:type="dxa"/>
                  </w:tcMar>
                  <w:vAlign w:val="center"/>
                </w:tcPr>
                <w:p w14:paraId="298A6D06">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77" w:type="pct"/>
                  <w:tcBorders>
                    <w:tl2br w:val="nil"/>
                    <w:tr2bl w:val="nil"/>
                  </w:tcBorders>
                  <w:shd w:val="clear" w:color="auto" w:fill="auto"/>
                  <w:noWrap w:val="0"/>
                  <w:tcMar>
                    <w:left w:w="57" w:type="dxa"/>
                    <w:right w:w="57" w:type="dxa"/>
                  </w:tcMar>
                  <w:vAlign w:val="center"/>
                </w:tcPr>
                <w:p w14:paraId="38F89979">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0.057</w:t>
                  </w:r>
                </w:p>
              </w:tc>
            </w:tr>
            <w:tr w14:paraId="506E3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66" w:type="pct"/>
                  <w:tcBorders>
                    <w:tl2br w:val="nil"/>
                    <w:tr2bl w:val="nil"/>
                  </w:tcBorders>
                  <w:shd w:val="clear" w:color="auto" w:fill="auto"/>
                  <w:noWrap w:val="0"/>
                  <w:tcMar>
                    <w:left w:w="57" w:type="dxa"/>
                    <w:right w:w="57" w:type="dxa"/>
                  </w:tcMar>
                  <w:vAlign w:val="center"/>
                </w:tcPr>
                <w:p w14:paraId="1A549EF0">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789" w:type="pct"/>
                  <w:tcBorders>
                    <w:tl2br w:val="nil"/>
                    <w:tr2bl w:val="nil"/>
                  </w:tcBorders>
                  <w:shd w:val="clear" w:color="auto" w:fill="auto"/>
                  <w:noWrap w:val="0"/>
                  <w:tcMar>
                    <w:left w:w="57" w:type="dxa"/>
                    <w:right w:w="57" w:type="dxa"/>
                  </w:tcMar>
                  <w:vAlign w:val="center"/>
                </w:tcPr>
                <w:p w14:paraId="2363CEA7">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2#水泥筒仓仓顶排气筒</w:t>
                  </w:r>
                </w:p>
              </w:tc>
              <w:tc>
                <w:tcPr>
                  <w:tcW w:w="590" w:type="pct"/>
                  <w:tcBorders>
                    <w:tl2br w:val="nil"/>
                    <w:tr2bl w:val="nil"/>
                  </w:tcBorders>
                  <w:shd w:val="clear" w:color="auto" w:fill="auto"/>
                  <w:noWrap w:val="0"/>
                  <w:tcMar>
                    <w:left w:w="57" w:type="dxa"/>
                    <w:right w:w="57" w:type="dxa"/>
                  </w:tcMar>
                  <w:vAlign w:val="center"/>
                </w:tcPr>
                <w:p w14:paraId="7C6C4096">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DA003</w:t>
                  </w:r>
                </w:p>
              </w:tc>
              <w:tc>
                <w:tcPr>
                  <w:tcW w:w="462" w:type="pct"/>
                  <w:tcBorders>
                    <w:tl2br w:val="nil"/>
                    <w:tr2bl w:val="nil"/>
                  </w:tcBorders>
                  <w:shd w:val="clear" w:color="auto" w:fill="auto"/>
                  <w:noWrap w:val="0"/>
                  <w:tcMar>
                    <w:left w:w="57" w:type="dxa"/>
                    <w:right w:w="57" w:type="dxa"/>
                  </w:tcMar>
                  <w:vAlign w:val="center"/>
                </w:tcPr>
                <w:p w14:paraId="2F4DB851">
                  <w:pPr>
                    <w:widowControl/>
                    <w:adjustRightInd w:val="0"/>
                    <w:snapToGrid w:val="0"/>
                    <w:spacing w:beforeLines="0" w:afterLine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水泥筒仓</w:t>
                  </w:r>
                </w:p>
              </w:tc>
              <w:tc>
                <w:tcPr>
                  <w:tcW w:w="332" w:type="pct"/>
                  <w:tcBorders>
                    <w:tl2br w:val="nil"/>
                    <w:tr2bl w:val="nil"/>
                  </w:tcBorders>
                  <w:shd w:val="clear" w:color="auto" w:fill="auto"/>
                  <w:noWrap w:val="0"/>
                  <w:tcMar>
                    <w:left w:w="57" w:type="dxa"/>
                    <w:right w:w="57" w:type="dxa"/>
                  </w:tcMar>
                  <w:vAlign w:val="center"/>
                </w:tcPr>
                <w:p w14:paraId="53E203FD">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947" w:type="pct"/>
                  <w:tcBorders>
                    <w:tl2br w:val="nil"/>
                    <w:tr2bl w:val="nil"/>
                  </w:tcBorders>
                  <w:shd w:val="clear" w:color="auto" w:fill="auto"/>
                  <w:noWrap w:val="0"/>
                  <w:tcMar>
                    <w:left w:w="57" w:type="dxa"/>
                    <w:right w:w="57" w:type="dxa"/>
                  </w:tcMar>
                  <w:vAlign w:val="center"/>
                </w:tcPr>
                <w:p w14:paraId="01D8FEC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33" w:type="pct"/>
                  <w:tcBorders>
                    <w:tl2br w:val="nil"/>
                    <w:tr2bl w:val="nil"/>
                  </w:tcBorders>
                  <w:shd w:val="clear" w:color="auto" w:fill="auto"/>
                  <w:noWrap w:val="0"/>
                  <w:tcMar>
                    <w:left w:w="57" w:type="dxa"/>
                    <w:right w:w="57" w:type="dxa"/>
                  </w:tcMar>
                  <w:vAlign w:val="center"/>
                </w:tcPr>
                <w:p w14:paraId="0E1863C1">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77" w:type="pct"/>
                  <w:tcBorders>
                    <w:tl2br w:val="nil"/>
                    <w:tr2bl w:val="nil"/>
                  </w:tcBorders>
                  <w:shd w:val="clear" w:color="auto" w:fill="auto"/>
                  <w:noWrap w:val="0"/>
                  <w:tcMar>
                    <w:left w:w="57" w:type="dxa"/>
                    <w:right w:w="57" w:type="dxa"/>
                  </w:tcMar>
                  <w:vAlign w:val="center"/>
                </w:tcPr>
                <w:p w14:paraId="024D48B5">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0.057</w:t>
                  </w:r>
                </w:p>
              </w:tc>
            </w:tr>
            <w:tr w14:paraId="7114E6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66" w:type="pct"/>
                  <w:tcBorders>
                    <w:tl2br w:val="nil"/>
                    <w:tr2bl w:val="nil"/>
                  </w:tcBorders>
                  <w:shd w:val="clear" w:color="auto" w:fill="auto"/>
                  <w:noWrap w:val="0"/>
                  <w:tcMar>
                    <w:left w:w="57" w:type="dxa"/>
                    <w:right w:w="57" w:type="dxa"/>
                  </w:tcMar>
                  <w:vAlign w:val="center"/>
                </w:tcPr>
                <w:p w14:paraId="6863BD23">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4</w:t>
                  </w:r>
                </w:p>
              </w:tc>
              <w:tc>
                <w:tcPr>
                  <w:tcW w:w="789" w:type="pct"/>
                  <w:tcBorders>
                    <w:tl2br w:val="nil"/>
                    <w:tr2bl w:val="nil"/>
                  </w:tcBorders>
                  <w:shd w:val="clear" w:color="auto" w:fill="auto"/>
                  <w:noWrap w:val="0"/>
                  <w:tcMar>
                    <w:left w:w="57" w:type="dxa"/>
                    <w:right w:w="57" w:type="dxa"/>
                  </w:tcMar>
                  <w:vAlign w:val="center"/>
                </w:tcPr>
                <w:p w14:paraId="560B7A69">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粉煤灰筒仓仓顶排气筒</w:t>
                  </w:r>
                </w:p>
              </w:tc>
              <w:tc>
                <w:tcPr>
                  <w:tcW w:w="590" w:type="pct"/>
                  <w:tcBorders>
                    <w:tl2br w:val="nil"/>
                    <w:tr2bl w:val="nil"/>
                  </w:tcBorders>
                  <w:shd w:val="clear" w:color="auto" w:fill="auto"/>
                  <w:noWrap w:val="0"/>
                  <w:tcMar>
                    <w:left w:w="57" w:type="dxa"/>
                    <w:right w:w="57" w:type="dxa"/>
                  </w:tcMar>
                  <w:vAlign w:val="center"/>
                </w:tcPr>
                <w:p w14:paraId="016D34FB">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DA004</w:t>
                  </w:r>
                </w:p>
              </w:tc>
              <w:tc>
                <w:tcPr>
                  <w:tcW w:w="462" w:type="pct"/>
                  <w:tcBorders>
                    <w:tl2br w:val="nil"/>
                    <w:tr2bl w:val="nil"/>
                  </w:tcBorders>
                  <w:shd w:val="clear" w:color="auto" w:fill="auto"/>
                  <w:noWrap w:val="0"/>
                  <w:tcMar>
                    <w:left w:w="57" w:type="dxa"/>
                    <w:right w:w="57" w:type="dxa"/>
                  </w:tcMar>
                  <w:vAlign w:val="center"/>
                </w:tcPr>
                <w:p w14:paraId="334B79BA">
                  <w:pPr>
                    <w:widowControl/>
                    <w:adjustRightInd w:val="0"/>
                    <w:snapToGrid w:val="0"/>
                    <w:spacing w:beforeLines="0" w:afterLine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粉煤灰筒仓</w:t>
                  </w:r>
                </w:p>
              </w:tc>
              <w:tc>
                <w:tcPr>
                  <w:tcW w:w="332" w:type="pct"/>
                  <w:tcBorders>
                    <w:tl2br w:val="nil"/>
                    <w:tr2bl w:val="nil"/>
                  </w:tcBorders>
                  <w:shd w:val="clear" w:color="auto" w:fill="auto"/>
                  <w:noWrap w:val="0"/>
                  <w:tcMar>
                    <w:left w:w="57" w:type="dxa"/>
                    <w:right w:w="57" w:type="dxa"/>
                  </w:tcMar>
                  <w:vAlign w:val="center"/>
                </w:tcPr>
                <w:p w14:paraId="343A2445">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947" w:type="pct"/>
                  <w:tcBorders>
                    <w:tl2br w:val="nil"/>
                    <w:tr2bl w:val="nil"/>
                  </w:tcBorders>
                  <w:shd w:val="clear" w:color="auto" w:fill="auto"/>
                  <w:noWrap w:val="0"/>
                  <w:tcMar>
                    <w:left w:w="57" w:type="dxa"/>
                    <w:right w:w="57" w:type="dxa"/>
                  </w:tcMar>
                  <w:vAlign w:val="center"/>
                </w:tcPr>
                <w:p w14:paraId="36F8B7C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33" w:type="pct"/>
                  <w:tcBorders>
                    <w:tl2br w:val="nil"/>
                    <w:tr2bl w:val="nil"/>
                  </w:tcBorders>
                  <w:shd w:val="clear" w:color="auto" w:fill="auto"/>
                  <w:noWrap w:val="0"/>
                  <w:tcMar>
                    <w:left w:w="57" w:type="dxa"/>
                    <w:right w:w="57" w:type="dxa"/>
                  </w:tcMar>
                  <w:vAlign w:val="center"/>
                </w:tcPr>
                <w:p w14:paraId="2DED7A16">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77" w:type="pct"/>
                  <w:tcBorders>
                    <w:tl2br w:val="nil"/>
                    <w:tr2bl w:val="nil"/>
                  </w:tcBorders>
                  <w:shd w:val="clear" w:color="auto" w:fill="auto"/>
                  <w:noWrap w:val="0"/>
                  <w:tcMar>
                    <w:left w:w="57" w:type="dxa"/>
                    <w:right w:w="57" w:type="dxa"/>
                  </w:tcMar>
                  <w:vAlign w:val="center"/>
                </w:tcPr>
                <w:p w14:paraId="340FB45A">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0.009</w:t>
                  </w:r>
                </w:p>
              </w:tc>
            </w:tr>
            <w:tr w14:paraId="1A6E4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055" w:type="pct"/>
                  <w:gridSpan w:val="2"/>
                  <w:tcBorders>
                    <w:tl2br w:val="nil"/>
                    <w:tr2bl w:val="nil"/>
                  </w:tcBorders>
                  <w:shd w:val="clear" w:color="auto" w:fill="auto"/>
                  <w:noWrap w:val="0"/>
                  <w:tcMar>
                    <w:left w:w="57" w:type="dxa"/>
                    <w:right w:w="57" w:type="dxa"/>
                  </w:tcMar>
                  <w:vAlign w:val="center"/>
                </w:tcPr>
                <w:p w14:paraId="4D30C934">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一般排放口合计</w:t>
                  </w:r>
                </w:p>
              </w:tc>
              <w:tc>
                <w:tcPr>
                  <w:tcW w:w="3166" w:type="pct"/>
                  <w:gridSpan w:val="5"/>
                  <w:tcBorders>
                    <w:tl2br w:val="nil"/>
                    <w:tr2bl w:val="nil"/>
                  </w:tcBorders>
                  <w:shd w:val="clear" w:color="auto" w:fill="auto"/>
                  <w:noWrap w:val="0"/>
                  <w:tcMar>
                    <w:left w:w="57" w:type="dxa"/>
                    <w:right w:w="57" w:type="dxa"/>
                  </w:tcMar>
                  <w:vAlign w:val="center"/>
                </w:tcPr>
                <w:p w14:paraId="0107ADB2">
                  <w:pPr>
                    <w:keepNext w:val="0"/>
                    <w:keepLines w:val="0"/>
                    <w:pageBreakBefore w:val="0"/>
                    <w:widowControl/>
                    <w:suppressLineNumbers w:val="0"/>
                    <w:kinsoku/>
                    <w:wordWrap/>
                    <w:overflowPunct/>
                    <w:topLinePunct w:val="0"/>
                    <w:autoSpaceDE/>
                    <w:autoSpaceDN/>
                    <w:bidi w:val="0"/>
                    <w:adjustRightInd w:val="0"/>
                    <w:snapToGrid w:val="0"/>
                    <w:spacing w:beforeLines="0" w:afterLine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t>DA001</w:t>
                  </w:r>
                </w:p>
              </w:tc>
              <w:tc>
                <w:tcPr>
                  <w:tcW w:w="777" w:type="pct"/>
                  <w:tcBorders>
                    <w:tl2br w:val="nil"/>
                    <w:tr2bl w:val="nil"/>
                  </w:tcBorders>
                  <w:shd w:val="clear" w:color="auto" w:fill="auto"/>
                  <w:noWrap w:val="0"/>
                  <w:tcMar>
                    <w:left w:w="57" w:type="dxa"/>
                    <w:right w:w="57" w:type="dxa"/>
                  </w:tcMar>
                  <w:vAlign w:val="center"/>
                </w:tcPr>
                <w:p w14:paraId="55D35973">
                  <w:pPr>
                    <w:widowControl/>
                    <w:adjustRightInd w:val="0"/>
                    <w:snapToGrid w:val="0"/>
                    <w:spacing w:beforeLines="0" w:afterLine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0.6846</w:t>
                  </w:r>
                </w:p>
              </w:tc>
            </w:tr>
          </w:tbl>
          <w:p w14:paraId="3B624509">
            <w:pPr>
              <w:keepNext w:val="0"/>
              <w:keepLines w:val="0"/>
              <w:pageBreakBefore w:val="0"/>
              <w:widowControl w:val="0"/>
              <w:numPr>
                <w:ilvl w:val="-1"/>
                <w:numId w:val="0"/>
              </w:numPr>
              <w:kinsoku/>
              <w:wordWrap/>
              <w:overflowPunct/>
              <w:topLinePunct w:val="0"/>
              <w:autoSpaceDE/>
              <w:autoSpaceDN/>
              <w:bidi w:val="0"/>
              <w:adjustRightInd/>
              <w:snapToGrid/>
              <w:spacing w:before="0" w:beforeLines="0" w:after="0" w:afterLines="0"/>
              <w:ind w:left="0" w:firstLine="0"/>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表4-5  </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本项目大气污染物无组织排放核算表</w:t>
            </w:r>
          </w:p>
          <w:tbl>
            <w:tblPr>
              <w:tblStyle w:val="35"/>
              <w:tblW w:w="80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0"/>
              <w:gridCol w:w="770"/>
              <w:gridCol w:w="621"/>
              <w:gridCol w:w="732"/>
              <w:gridCol w:w="1256"/>
              <w:gridCol w:w="2106"/>
              <w:gridCol w:w="1087"/>
              <w:gridCol w:w="1044"/>
            </w:tblGrid>
            <w:tr w14:paraId="0BC11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6" w:type="dxa"/>
                  <w:vMerge w:val="restart"/>
                  <w:tcBorders>
                    <w:top w:val="single" w:color="000000" w:sz="12" w:space="0"/>
                    <w:left w:val="nil"/>
                    <w:bottom w:val="single" w:color="000000" w:sz="8" w:space="0"/>
                    <w:right w:val="single" w:color="000000" w:sz="8" w:space="0"/>
                  </w:tcBorders>
                  <w:shd w:val="clear" w:color="auto" w:fill="auto"/>
                  <w:vAlign w:val="center"/>
                </w:tcPr>
                <w:p w14:paraId="320F2EFE">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86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5060033F">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产污点</w:t>
                  </w:r>
                </w:p>
              </w:tc>
              <w:tc>
                <w:tcPr>
                  <w:tcW w:w="67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573FA5B2">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产污工序</w:t>
                  </w:r>
                </w:p>
              </w:tc>
              <w:tc>
                <w:tcPr>
                  <w:tcW w:w="814"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4A48FB57">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423"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1DFFE426">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主要污染防治措施</w:t>
                  </w:r>
                </w:p>
              </w:tc>
              <w:tc>
                <w:tcPr>
                  <w:tcW w:w="2793" w:type="dxa"/>
                  <w:gridSpan w:val="2"/>
                  <w:tcBorders>
                    <w:top w:val="single" w:color="000000" w:sz="12" w:space="0"/>
                    <w:left w:val="single" w:color="000000" w:sz="8" w:space="0"/>
                    <w:bottom w:val="single" w:color="000000" w:sz="8" w:space="0"/>
                    <w:right w:val="single" w:color="000000" w:sz="8" w:space="0"/>
                  </w:tcBorders>
                  <w:shd w:val="clear" w:color="auto" w:fill="auto"/>
                  <w:vAlign w:val="center"/>
                </w:tcPr>
                <w:p w14:paraId="29E9C159">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国家或地方污染物排放标准</w:t>
                  </w:r>
                </w:p>
              </w:tc>
              <w:tc>
                <w:tcPr>
                  <w:tcW w:w="1044" w:type="dxa"/>
                  <w:vMerge w:val="restart"/>
                  <w:tcBorders>
                    <w:top w:val="single" w:color="000000" w:sz="12" w:space="0"/>
                    <w:left w:val="single" w:color="000000" w:sz="8" w:space="0"/>
                    <w:bottom w:val="single" w:color="000000" w:sz="8" w:space="0"/>
                    <w:right w:val="nil"/>
                  </w:tcBorders>
                  <w:shd w:val="clear" w:color="auto" w:fill="auto"/>
                  <w:vAlign w:val="center"/>
                </w:tcPr>
                <w:p w14:paraId="6EFF304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年排放量/(t/a)</w:t>
                  </w:r>
                </w:p>
              </w:tc>
            </w:tr>
            <w:tr w14:paraId="605BB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456" w:type="dxa"/>
                  <w:vMerge w:val="continue"/>
                  <w:tcBorders>
                    <w:top w:val="single" w:color="000000" w:sz="12" w:space="0"/>
                    <w:left w:val="nil"/>
                    <w:bottom w:val="single" w:color="000000" w:sz="8" w:space="0"/>
                    <w:right w:val="single" w:color="000000" w:sz="8" w:space="0"/>
                  </w:tcBorders>
                  <w:shd w:val="clear" w:color="auto" w:fill="auto"/>
                  <w:vAlign w:val="center"/>
                </w:tcPr>
                <w:p w14:paraId="0D4D5907">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86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5667ED31">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67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22A0C93D">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814"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121C4338">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423"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3081DC43">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05CCEC">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标准名称</w:t>
                  </w:r>
                </w:p>
              </w:tc>
              <w:tc>
                <w:tcPr>
                  <w:tcW w:w="11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883916">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浓度限值/(mg/m</w:t>
                  </w:r>
                  <w:r>
                    <w:rPr>
                      <w:rFonts w:hint="default" w:ascii="Times New Roman" w:hAnsi="Times New Roman" w:eastAsia="宋体" w:cs="Times New Roman"/>
                      <w:b/>
                      <w:bCs/>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c>
                <w:tcPr>
                  <w:tcW w:w="1044" w:type="dxa"/>
                  <w:vMerge w:val="continue"/>
                  <w:tcBorders>
                    <w:top w:val="single" w:color="000000" w:sz="12" w:space="0"/>
                    <w:left w:val="single" w:color="000000" w:sz="8" w:space="0"/>
                    <w:bottom w:val="single" w:color="000000" w:sz="8" w:space="0"/>
                    <w:right w:val="nil"/>
                  </w:tcBorders>
                  <w:shd w:val="clear" w:color="auto" w:fill="auto"/>
                  <w:vAlign w:val="center"/>
                </w:tcPr>
                <w:p w14:paraId="67BAD827">
                  <w:pPr>
                    <w:spacing w:beforeLines="0" w:afterLines="0"/>
                    <w:ind w:left="0" w:leftChars="0" w:right="0" w:rightChars="0" w:firstLine="0"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r w14:paraId="2CDCD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tcBorders>
                    <w:top w:val="single" w:color="000000" w:sz="8" w:space="0"/>
                    <w:left w:val="nil"/>
                    <w:bottom w:val="single" w:color="000000" w:sz="8" w:space="0"/>
                    <w:right w:val="single" w:color="000000" w:sz="8" w:space="0"/>
                  </w:tcBorders>
                  <w:shd w:val="clear" w:color="auto" w:fill="auto"/>
                  <w:vAlign w:val="center"/>
                </w:tcPr>
                <w:p w14:paraId="2CE725E2">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FF86E0">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搅拌粉尘</w:t>
                  </w:r>
                </w:p>
              </w:tc>
              <w:tc>
                <w:tcPr>
                  <w:tcW w:w="6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676EF4">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w:t>
                  </w:r>
                </w:p>
              </w:tc>
              <w:tc>
                <w:tcPr>
                  <w:tcW w:w="8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E05CF5">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4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6C18A4">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喷雾降尘</w:t>
                  </w:r>
                </w:p>
              </w:tc>
              <w:tc>
                <w:tcPr>
                  <w:tcW w:w="16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CC9E1B">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《四川省水泥工业大气污染物排放标准》（DB51/2864-2021）表2 企业边界大气污染物浓度限值</w:t>
                  </w:r>
                </w:p>
              </w:tc>
              <w:tc>
                <w:tcPr>
                  <w:tcW w:w="111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3570935">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1044" w:type="dxa"/>
                  <w:tcBorders>
                    <w:top w:val="single" w:color="000000" w:sz="8" w:space="0"/>
                    <w:left w:val="single" w:color="000000" w:sz="8" w:space="0"/>
                    <w:bottom w:val="single" w:color="000000" w:sz="8" w:space="0"/>
                    <w:right w:val="nil"/>
                  </w:tcBorders>
                  <w:shd w:val="clear" w:color="auto" w:fill="auto"/>
                  <w:vAlign w:val="center"/>
                </w:tcPr>
                <w:p w14:paraId="6B8980DD">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0.05616</w:t>
                  </w:r>
                </w:p>
              </w:tc>
            </w:tr>
            <w:tr w14:paraId="03297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6" w:type="dxa"/>
                  <w:tcBorders>
                    <w:top w:val="single" w:color="000000" w:sz="8" w:space="0"/>
                    <w:left w:val="nil"/>
                    <w:bottom w:val="single" w:color="000000" w:sz="8" w:space="0"/>
                    <w:right w:val="single" w:color="000000" w:sz="8" w:space="0"/>
                  </w:tcBorders>
                  <w:shd w:val="clear" w:color="auto" w:fill="auto"/>
                  <w:vAlign w:val="center"/>
                </w:tcPr>
                <w:p w14:paraId="5D0BD5B1">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07D70">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原料堆场粉尘</w:t>
                  </w:r>
                </w:p>
              </w:tc>
              <w:tc>
                <w:tcPr>
                  <w:tcW w:w="6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A18E0">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原料堆场</w:t>
                  </w:r>
                </w:p>
              </w:tc>
              <w:tc>
                <w:tcPr>
                  <w:tcW w:w="8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1CC5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4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F1E519">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原料堆放区进行封闭、车间内设置20个雾化喷嘴</w:t>
                  </w:r>
                </w:p>
              </w:tc>
              <w:tc>
                <w:tcPr>
                  <w:tcW w:w="16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C1A39C">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1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EB42CD">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4" w:type="dxa"/>
                  <w:tcBorders>
                    <w:top w:val="single" w:color="000000" w:sz="8" w:space="0"/>
                    <w:left w:val="single" w:color="000000" w:sz="8" w:space="0"/>
                    <w:bottom w:val="single" w:color="000000" w:sz="8" w:space="0"/>
                    <w:right w:val="nil"/>
                  </w:tcBorders>
                  <w:shd w:val="clear" w:color="auto" w:fill="auto"/>
                  <w:vAlign w:val="center"/>
                </w:tcPr>
                <w:p w14:paraId="70F581F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0.045</w:t>
                  </w:r>
                </w:p>
              </w:tc>
            </w:tr>
            <w:tr w14:paraId="1ADEC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56" w:type="dxa"/>
                  <w:tcBorders>
                    <w:top w:val="single" w:color="000000" w:sz="8" w:space="0"/>
                    <w:left w:val="nil"/>
                    <w:bottom w:val="single" w:color="000000" w:sz="8" w:space="0"/>
                    <w:right w:val="single" w:color="000000" w:sz="8" w:space="0"/>
                  </w:tcBorders>
                  <w:shd w:val="clear" w:color="auto" w:fill="auto"/>
                  <w:vAlign w:val="center"/>
                </w:tcPr>
                <w:p w14:paraId="13D1B2B3">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EEC6FF">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上料粉尘</w:t>
                  </w:r>
                </w:p>
              </w:tc>
              <w:tc>
                <w:tcPr>
                  <w:tcW w:w="6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3A00FE">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上料</w:t>
                  </w:r>
                </w:p>
              </w:tc>
              <w:tc>
                <w:tcPr>
                  <w:tcW w:w="8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B17A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4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47761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配料斗上方安装喷雾降尘装置</w:t>
                  </w:r>
                </w:p>
              </w:tc>
              <w:tc>
                <w:tcPr>
                  <w:tcW w:w="16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11F8EB8">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1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D39B766">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4" w:type="dxa"/>
                  <w:tcBorders>
                    <w:top w:val="single" w:color="000000" w:sz="8" w:space="0"/>
                    <w:left w:val="single" w:color="000000" w:sz="8" w:space="0"/>
                    <w:bottom w:val="single" w:color="000000" w:sz="8" w:space="0"/>
                    <w:right w:val="nil"/>
                  </w:tcBorders>
                  <w:shd w:val="clear" w:color="auto" w:fill="auto"/>
                  <w:vAlign w:val="center"/>
                </w:tcPr>
                <w:p w14:paraId="28062596">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0.356</w:t>
                  </w:r>
                </w:p>
              </w:tc>
            </w:tr>
            <w:tr w14:paraId="65346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6" w:type="dxa"/>
                  <w:tcBorders>
                    <w:top w:val="single" w:color="000000" w:sz="8" w:space="0"/>
                    <w:left w:val="nil"/>
                    <w:bottom w:val="single" w:color="000000" w:sz="8" w:space="0"/>
                    <w:right w:val="single" w:color="000000" w:sz="8" w:space="0"/>
                  </w:tcBorders>
                  <w:shd w:val="clear" w:color="auto" w:fill="auto"/>
                  <w:vAlign w:val="center"/>
                </w:tcPr>
                <w:p w14:paraId="79346D04">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8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FE326B">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运输扬尘</w:t>
                  </w:r>
                </w:p>
              </w:tc>
              <w:tc>
                <w:tcPr>
                  <w:tcW w:w="6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9E5BDF">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运输</w:t>
                  </w:r>
                </w:p>
              </w:tc>
              <w:tc>
                <w:tcPr>
                  <w:tcW w:w="8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A36AA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4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FB2C7">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洒水车对道路洒水</w:t>
                  </w:r>
                </w:p>
              </w:tc>
              <w:tc>
                <w:tcPr>
                  <w:tcW w:w="16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F8EA92">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11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64C59F">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044" w:type="dxa"/>
                  <w:tcBorders>
                    <w:top w:val="single" w:color="000000" w:sz="8" w:space="0"/>
                    <w:left w:val="single" w:color="000000" w:sz="8" w:space="0"/>
                    <w:bottom w:val="single" w:color="000000" w:sz="8" w:space="0"/>
                    <w:right w:val="nil"/>
                  </w:tcBorders>
                  <w:shd w:val="clear" w:color="auto" w:fill="auto"/>
                  <w:vAlign w:val="center"/>
                </w:tcPr>
                <w:p w14:paraId="52501945">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0.0103</w:t>
                  </w:r>
                </w:p>
              </w:tc>
            </w:tr>
            <w:tr w14:paraId="2200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19" w:type="dxa"/>
                  <w:gridSpan w:val="2"/>
                  <w:tcBorders>
                    <w:top w:val="single" w:color="000000" w:sz="8" w:space="0"/>
                    <w:left w:val="nil"/>
                    <w:bottom w:val="single" w:color="000000" w:sz="12" w:space="0"/>
                    <w:right w:val="single" w:color="000000" w:sz="8" w:space="0"/>
                  </w:tcBorders>
                  <w:shd w:val="clear" w:color="auto" w:fill="auto"/>
                  <w:vAlign w:val="center"/>
                </w:tcPr>
                <w:p w14:paraId="22AD3D4D">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无组织排放总计</w:t>
                  </w:r>
                </w:p>
              </w:tc>
              <w:tc>
                <w:tcPr>
                  <w:tcW w:w="5703" w:type="dxa"/>
                  <w:gridSpan w:val="5"/>
                  <w:tcBorders>
                    <w:top w:val="single" w:color="000000" w:sz="8" w:space="0"/>
                    <w:left w:val="single" w:color="000000" w:sz="8" w:space="0"/>
                    <w:bottom w:val="single" w:color="000000" w:sz="12" w:space="0"/>
                    <w:right w:val="single" w:color="000000" w:sz="8" w:space="0"/>
                  </w:tcBorders>
                  <w:shd w:val="clear" w:color="auto" w:fill="auto"/>
                  <w:vAlign w:val="center"/>
                </w:tcPr>
                <w:p w14:paraId="57D55A70">
                  <w:pPr>
                    <w:spacing w:beforeLines="0" w:afterLines="0"/>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044" w:type="dxa"/>
                  <w:tcBorders>
                    <w:top w:val="single" w:color="000000" w:sz="8" w:space="0"/>
                    <w:left w:val="single" w:color="000000" w:sz="8" w:space="0"/>
                    <w:bottom w:val="single" w:color="000000" w:sz="12" w:space="0"/>
                    <w:right w:val="nil"/>
                  </w:tcBorders>
                  <w:shd w:val="clear" w:color="auto" w:fill="auto"/>
                  <w:noWrap/>
                  <w:vAlign w:val="center"/>
                </w:tcPr>
                <w:p w14:paraId="1C5D78AA">
                  <w:pPr>
                    <w:keepNext w:val="0"/>
                    <w:keepLines w:val="0"/>
                    <w:widowControl/>
                    <w:suppressLineNumbers w:val="0"/>
                    <w:spacing w:beforeLines="0" w:afterLines="0"/>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1.295</w:t>
                  </w:r>
                </w:p>
              </w:tc>
            </w:tr>
          </w:tbl>
          <w:p w14:paraId="3DE3B8F4">
            <w:pPr>
              <w:keepNext w:val="0"/>
              <w:keepLines w:val="0"/>
              <w:pageBreakBefore w:val="0"/>
              <w:widowControl w:val="0"/>
              <w:numPr>
                <w:ilvl w:val="-1"/>
                <w:numId w:val="0"/>
              </w:numPr>
              <w:kinsoku/>
              <w:wordWrap/>
              <w:overflowPunct/>
              <w:topLinePunct w:val="0"/>
              <w:autoSpaceDE/>
              <w:autoSpaceDN/>
              <w:bidi w:val="0"/>
              <w:adjustRightInd/>
              <w:snapToGrid/>
              <w:spacing w:before="0" w:beforeLines="0" w:after="0" w:afterLines="0"/>
              <w:ind w:left="0" w:firstLine="0"/>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表4-6  </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大气污染物年排放量核算表</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Layout w:type="autofit"/>
              <w:tblCellMar>
                <w:top w:w="0" w:type="dxa"/>
                <w:left w:w="0" w:type="dxa"/>
                <w:bottom w:w="0" w:type="dxa"/>
                <w:right w:w="0" w:type="dxa"/>
              </w:tblCellMar>
            </w:tblPr>
            <w:tblGrid>
              <w:gridCol w:w="845"/>
              <w:gridCol w:w="1543"/>
              <w:gridCol w:w="1890"/>
              <w:gridCol w:w="1892"/>
              <w:gridCol w:w="1891"/>
            </w:tblGrid>
            <w:tr w14:paraId="67AD7B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24" w:type="pct"/>
                  <w:shd w:val="clear" w:color="auto" w:fill="auto"/>
                  <w:noWrap w:val="0"/>
                  <w:tcMar>
                    <w:top w:w="15" w:type="dxa"/>
                    <w:left w:w="15" w:type="dxa"/>
                    <w:right w:w="15" w:type="dxa"/>
                  </w:tcMar>
                  <w:vAlign w:val="center"/>
                </w:tcPr>
                <w:p w14:paraId="4D31BBF7">
                  <w:pPr>
                    <w:pStyle w:val="13"/>
                    <w:spacing w:beforeLines="0" w:afterLine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序号</w:t>
                  </w:r>
                </w:p>
              </w:tc>
              <w:tc>
                <w:tcPr>
                  <w:tcW w:w="957" w:type="pct"/>
                  <w:shd w:val="clear" w:color="auto" w:fill="auto"/>
                  <w:noWrap w:val="0"/>
                  <w:tcMar>
                    <w:top w:w="15" w:type="dxa"/>
                    <w:left w:w="15" w:type="dxa"/>
                    <w:right w:w="15" w:type="dxa"/>
                  </w:tcMar>
                  <w:vAlign w:val="center"/>
                </w:tcPr>
                <w:p w14:paraId="1AF4A86A">
                  <w:pPr>
                    <w:pStyle w:val="13"/>
                    <w:spacing w:beforeLines="0" w:afterLine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w:t>
                  </w:r>
                </w:p>
              </w:tc>
              <w:tc>
                <w:tcPr>
                  <w:tcW w:w="1172" w:type="pct"/>
                  <w:shd w:val="clear" w:color="auto" w:fill="auto"/>
                  <w:noWrap w:val="0"/>
                  <w:tcMar>
                    <w:top w:w="15" w:type="dxa"/>
                    <w:left w:w="15" w:type="dxa"/>
                    <w:right w:w="15" w:type="dxa"/>
                  </w:tcMar>
                  <w:vAlign w:val="center"/>
                </w:tcPr>
                <w:p w14:paraId="567CCAD0">
                  <w:pPr>
                    <w:pStyle w:val="13"/>
                    <w:spacing w:beforeLines="0" w:afterLine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有组织</w:t>
                  </w:r>
                  <w:r>
                    <w:rPr>
                      <w:rFonts w:ascii="Times New Roman" w:hAnsi="Times New Roman" w:cs="Times New Roman"/>
                      <w:color w:val="000000" w:themeColor="text1"/>
                      <w:szCs w:val="21"/>
                      <w:highlight w:val="none"/>
                      <w14:textFill>
                        <w14:solidFill>
                          <w14:schemeClr w14:val="tx1"/>
                        </w14:solidFill>
                      </w14:textFill>
                    </w:rPr>
                    <w:t>排放量/(t/a)</w:t>
                  </w:r>
                </w:p>
              </w:tc>
              <w:tc>
                <w:tcPr>
                  <w:tcW w:w="1173" w:type="pct"/>
                  <w:shd w:val="clear" w:color="auto" w:fill="auto"/>
                  <w:noWrap w:val="0"/>
                  <w:tcMar>
                    <w:top w:w="15" w:type="dxa"/>
                    <w:left w:w="15" w:type="dxa"/>
                    <w:right w:w="15" w:type="dxa"/>
                  </w:tcMar>
                  <w:vAlign w:val="center"/>
                </w:tcPr>
                <w:p w14:paraId="068BE7AD">
                  <w:pPr>
                    <w:pStyle w:val="13"/>
                    <w:spacing w:beforeLines="0" w:afterLine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无组织</w:t>
                  </w:r>
                  <w:r>
                    <w:rPr>
                      <w:rFonts w:ascii="Times New Roman" w:hAnsi="Times New Roman" w:cs="Times New Roman"/>
                      <w:color w:val="000000" w:themeColor="text1"/>
                      <w:szCs w:val="21"/>
                      <w:highlight w:val="none"/>
                      <w14:textFill>
                        <w14:solidFill>
                          <w14:schemeClr w14:val="tx1"/>
                        </w14:solidFill>
                      </w14:textFill>
                    </w:rPr>
                    <w:t>排放量/(t/a)</w:t>
                  </w:r>
                </w:p>
              </w:tc>
              <w:tc>
                <w:tcPr>
                  <w:tcW w:w="1172" w:type="pct"/>
                  <w:shd w:val="clear" w:color="auto" w:fill="auto"/>
                  <w:noWrap w:val="0"/>
                  <w:tcMar>
                    <w:top w:w="15" w:type="dxa"/>
                    <w:left w:w="15" w:type="dxa"/>
                    <w:right w:w="15" w:type="dxa"/>
                  </w:tcMar>
                  <w:vAlign w:val="center"/>
                </w:tcPr>
                <w:p w14:paraId="5955EC93">
                  <w:pPr>
                    <w:pStyle w:val="13"/>
                    <w:spacing w:beforeLines="0" w:afterLines="0"/>
                    <w:ind w:firstLine="0" w:firstLineChars="0"/>
                    <w:rPr>
                      <w:rFonts w:ascii="Times New Roman" w:hAnsi="Times New Roman" w:cs="Times New Roman"/>
                      <w:b/>
                      <w:color w:val="000000" w:themeColor="text1"/>
                      <w:kern w:val="24"/>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年排放量/(t/a)</w:t>
                  </w:r>
                </w:p>
              </w:tc>
            </w:tr>
            <w:tr w14:paraId="42271D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24" w:type="pct"/>
                  <w:shd w:val="clear" w:color="auto" w:fill="auto"/>
                  <w:noWrap w:val="0"/>
                  <w:tcMar>
                    <w:top w:w="15" w:type="dxa"/>
                    <w:left w:w="15" w:type="dxa"/>
                    <w:right w:w="15" w:type="dxa"/>
                  </w:tcMar>
                  <w:vAlign w:val="center"/>
                </w:tcPr>
                <w:p w14:paraId="6DEE5BE9">
                  <w:pPr>
                    <w:pStyle w:val="13"/>
                    <w:spacing w:beforeLines="0" w:afterLines="0"/>
                    <w:rPr>
                      <w:rFonts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1</w:t>
                  </w:r>
                </w:p>
              </w:tc>
              <w:tc>
                <w:tcPr>
                  <w:tcW w:w="957" w:type="pct"/>
                  <w:shd w:val="clear" w:color="auto" w:fill="auto"/>
                  <w:noWrap w:val="0"/>
                  <w:tcMar>
                    <w:top w:w="15" w:type="dxa"/>
                    <w:left w:w="15" w:type="dxa"/>
                    <w:right w:w="15" w:type="dxa"/>
                  </w:tcMar>
                  <w:vAlign w:val="center"/>
                </w:tcPr>
                <w:p w14:paraId="0C5D9A10">
                  <w:pPr>
                    <w:pStyle w:val="13"/>
                    <w:spacing w:beforeLines="0" w:afterLines="0"/>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t>颗粒物</w:t>
                  </w:r>
                </w:p>
              </w:tc>
              <w:tc>
                <w:tcPr>
                  <w:tcW w:w="1172" w:type="pct"/>
                  <w:shd w:val="clear" w:color="auto" w:fill="auto"/>
                  <w:noWrap w:val="0"/>
                  <w:tcMar>
                    <w:top w:w="15" w:type="dxa"/>
                    <w:left w:w="15" w:type="dxa"/>
                    <w:right w:w="15" w:type="dxa"/>
                  </w:tcMar>
                  <w:vAlign w:val="center"/>
                </w:tcPr>
                <w:p w14:paraId="52A0DA18">
                  <w:pPr>
                    <w:keepNext w:val="0"/>
                    <w:keepLines w:val="0"/>
                    <w:widowControl/>
                    <w:suppressLineNumbers w:val="0"/>
                    <w:spacing w:beforeLines="0" w:afterLines="0"/>
                    <w:jc w:val="center"/>
                    <w:textAlignment w:val="center"/>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0.6846</w:t>
                  </w:r>
                </w:p>
              </w:tc>
              <w:tc>
                <w:tcPr>
                  <w:tcW w:w="1173" w:type="pct"/>
                  <w:shd w:val="clear" w:color="auto" w:fill="auto"/>
                  <w:noWrap w:val="0"/>
                  <w:tcMar>
                    <w:top w:w="15" w:type="dxa"/>
                    <w:left w:w="15" w:type="dxa"/>
                    <w:right w:w="15" w:type="dxa"/>
                  </w:tcMar>
                  <w:vAlign w:val="center"/>
                </w:tcPr>
                <w:p w14:paraId="4E349A2D">
                  <w:pPr>
                    <w:keepNext w:val="0"/>
                    <w:keepLines w:val="0"/>
                    <w:widowControl/>
                    <w:suppressLineNumbers w:val="0"/>
                    <w:spacing w:beforeLines="0" w:afterLines="0"/>
                    <w:jc w:val="center"/>
                    <w:textAlignment w:val="center"/>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1.295</w:t>
                  </w:r>
                </w:p>
              </w:tc>
              <w:tc>
                <w:tcPr>
                  <w:tcW w:w="1172" w:type="pct"/>
                  <w:shd w:val="clear" w:color="auto" w:fill="auto"/>
                  <w:noWrap w:val="0"/>
                  <w:tcMar>
                    <w:top w:w="15" w:type="dxa"/>
                    <w:left w:w="15" w:type="dxa"/>
                    <w:right w:w="15" w:type="dxa"/>
                  </w:tcMar>
                  <w:vAlign w:val="center"/>
                </w:tcPr>
                <w:p w14:paraId="660D6551">
                  <w:pPr>
                    <w:keepNext w:val="0"/>
                    <w:keepLines w:val="0"/>
                    <w:widowControl/>
                    <w:suppressLineNumbers w:val="0"/>
                    <w:spacing w:beforeLines="0" w:afterLines="0"/>
                    <w:jc w:val="center"/>
                    <w:textAlignment w:val="center"/>
                    <w:rPr>
                      <w:rFonts w:hint="default" w:ascii="Times New Roman" w:hAnsi="Times New Roman" w:cs="Times New Roman"/>
                      <w:b w:val="0"/>
                      <w:bCs/>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 w:val="21"/>
                      <w:szCs w:val="21"/>
                      <w:highlight w:val="none"/>
                      <w:lang w:val="en-US" w:eastAsia="zh-CN" w:bidi="ar-SA"/>
                      <w14:textFill>
                        <w14:solidFill>
                          <w14:schemeClr w14:val="tx1"/>
                        </w14:solidFill>
                      </w14:textFill>
                    </w:rPr>
                    <w:t>1.9796</w:t>
                  </w:r>
                </w:p>
              </w:tc>
            </w:tr>
          </w:tbl>
          <w:p w14:paraId="4B8A0C37">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）废气排放达标排放分析</w:t>
            </w:r>
          </w:p>
          <w:p w14:paraId="1AC516C6">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由表4-1可知，本项目搅拌粉尘</w:t>
            </w:r>
            <w:r>
              <w:rPr>
                <w:rFonts w:hint="default" w:ascii="Times New Roman" w:hAnsi="Times New Roman" w:cs="Times New Roman"/>
                <w:color w:val="000000" w:themeColor="text1"/>
                <w:sz w:val="24"/>
                <w:szCs w:val="24"/>
                <w:highlight w:val="none"/>
                <w:lang w:eastAsia="zh-CN"/>
                <w14:textFill>
                  <w14:solidFill>
                    <w14:schemeClr w14:val="tx1"/>
                  </w14:solidFill>
                </w14:textFill>
              </w:rPr>
              <w:t>、筒仓仓顶呼吸孔粉尘颗粒物有组织排放满足《四川省水泥工业大气污染物排放标准》（DB51/2864-2021）表1中颗粒物最高允许排放浓度10mg/m³要求。</w:t>
            </w:r>
          </w:p>
          <w:p w14:paraId="0DC2832B">
            <w:pPr>
              <w:keepLines w:val="0"/>
              <w:pageBreakBefore w:val="0"/>
              <w:widowControl/>
              <w:kinsoku/>
              <w:bidi w:val="0"/>
              <w:snapToGrid/>
              <w:spacing w:beforeLines="0" w:afterLines="0" w:line="360" w:lineRule="auto"/>
              <w:ind w:firstLine="482" w:firstLineChars="200"/>
              <w:textAlignment w:val="baseline"/>
              <w:rPr>
                <w:rFonts w:hint="default" w:ascii="Times New Roman" w:hAnsi="Times New Roman" w:eastAsia="宋体" w:cs="Times New Roman"/>
                <w:b/>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kern w:val="21"/>
                <w:sz w:val="24"/>
                <w:szCs w:val="24"/>
                <w:highlight w:val="none"/>
                <w:lang w:val="en-US" w:eastAsia="zh-CN"/>
                <w14:textFill>
                  <w14:solidFill>
                    <w14:schemeClr w14:val="tx1"/>
                  </w14:solidFill>
                </w14:textFill>
              </w:rPr>
              <w:t>废气治理措施可行性分析</w:t>
            </w:r>
          </w:p>
          <w:p w14:paraId="46177DFA">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根据生产工艺，</w:t>
            </w:r>
            <w:r>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无行业排污许可证申请与核发技术规范，根据《排污许可证申请与核发技术规范总则》（HJ942-2018）无措施推荐。</w:t>
            </w:r>
          </w:p>
          <w:p w14:paraId="130BDCCC">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本项目营运期废气主要包括物料</w:t>
            </w:r>
            <w:r>
              <w:rPr>
                <w:rFonts w:hint="default" w:ascii="Times New Roman" w:hAnsi="Times New Roman" w:cs="Times New Roman"/>
                <w:bCs/>
                <w:color w:val="000000" w:themeColor="text1"/>
                <w:kern w:val="21"/>
                <w:sz w:val="24"/>
                <w:szCs w:val="24"/>
                <w:highlight w:val="none"/>
                <w:lang w:eastAsia="zh-CN"/>
                <w14:textFill>
                  <w14:solidFill>
                    <w14:schemeClr w14:val="tx1"/>
                  </w14:solidFill>
                </w14:textFill>
              </w:rPr>
              <w:t>卸料</w:t>
            </w: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及堆放粉尘、上料粉尘、筒仓呼吸口粉尘、搅拌粉尘以及车辆运输扬尘。其中，筒仓呼吸口粉尘经仓顶自带的脉冲袋式除尘器处理后通过仓顶呼吸口排放；搅拌粉尘经集气装置收集后引至一套袋式除尘器进行处理，尾气通过1根15m高排气筒达标排放。</w:t>
            </w:r>
          </w:p>
          <w:p w14:paraId="0916218B">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另外，本环评要求</w:t>
            </w:r>
            <w:r>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t>原料堆场</w:t>
            </w: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车间采用封闭式厂房，地面硬化，根据车辆的宽度和高度对车辆出入的大门合理设计；库门设计挡帘，库内作业时关闭挡帘；石子、沙子等原料储库顶部、卸料点上方以及上料仓料斗上方设置喷淋抑尘装置进行降尘；在原料进行卸料操作时启动，及时清扫地面降尘，减少堆场内无组织粉尘的产生；对厂区道路实施洒水进行抑尘，减少车辆运输扬尘的产生，对运输物料进行加盖帆布并限制车速、禁止超载、设置洗车平台对进出车辆的轮胎进行冲洗等措施，可有效减少道路扬尘。通过上述抑尘措施，减少无组织粉尘的产生及排放。</w:t>
            </w:r>
          </w:p>
          <w:p w14:paraId="6B30C762">
            <w:pPr>
              <w:keepLines w:val="0"/>
              <w:pageBreakBefore w:val="0"/>
              <w:widowControl/>
              <w:kinsoku/>
              <w:bidi w:val="0"/>
              <w:snapToGrid/>
              <w:spacing w:beforeLines="0" w:afterLines="0" w:line="360" w:lineRule="auto"/>
              <w:ind w:firstLine="482" w:firstLineChars="200"/>
              <w:textAlignment w:val="baseline"/>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废气治理措施工作原理：</w:t>
            </w:r>
          </w:p>
          <w:p w14:paraId="1A13BEDF">
            <w:pPr>
              <w:keepLines w:val="0"/>
              <w:pageBreakBefore w:val="0"/>
              <w:widowControl/>
              <w:kinsoku/>
              <w:bidi w:val="0"/>
              <w:snapToGrid/>
              <w:spacing w:beforeLines="0" w:afterLines="0" w:line="360" w:lineRule="auto"/>
              <w:ind w:firstLine="0" w:firstLineChars="0"/>
              <w:jc w:val="center"/>
              <w:textAlignment w:val="baseline"/>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drawing>
                <wp:inline distT="0" distB="0" distL="114300" distR="114300">
                  <wp:extent cx="3724275" cy="2715895"/>
                  <wp:effectExtent l="0" t="0" r="9525" b="4445"/>
                  <wp:docPr id="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4"/>
                          <pic:cNvPicPr>
                            <a:picLocks noChangeAspect="1"/>
                          </pic:cNvPicPr>
                        </pic:nvPicPr>
                        <pic:blipFill>
                          <a:blip r:embed="rId24"/>
                          <a:stretch>
                            <a:fillRect/>
                          </a:stretch>
                        </pic:blipFill>
                        <pic:spPr>
                          <a:xfrm>
                            <a:off x="0" y="0"/>
                            <a:ext cx="3724275" cy="2715895"/>
                          </a:xfrm>
                          <a:prstGeom prst="rect">
                            <a:avLst/>
                          </a:prstGeom>
                          <a:noFill/>
                          <a:ln>
                            <a:noFill/>
                          </a:ln>
                        </pic:spPr>
                      </pic:pic>
                    </a:graphicData>
                  </a:graphic>
                </wp:inline>
              </w:drawing>
            </w:r>
          </w:p>
          <w:p w14:paraId="7D31438B">
            <w:pPr>
              <w:keepLines w:val="0"/>
              <w:pageBreakBefore w:val="0"/>
              <w:widowControl/>
              <w:kinsoku/>
              <w:bidi w:val="0"/>
              <w:snapToGrid/>
              <w:spacing w:beforeLines="0" w:afterLines="0" w:line="360" w:lineRule="auto"/>
              <w:ind w:firstLine="0" w:firstLineChars="0"/>
              <w:jc w:val="center"/>
              <w:textAlignment w:val="baseline"/>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图4-1</w:t>
            </w:r>
            <w:r>
              <w:rPr>
                <w:rFonts w:hint="default" w:ascii="Times New Roman" w:hAnsi="Times New Roman" w:eastAsia="宋体" w:cs="Times New Roman"/>
                <w:b/>
                <w:bCs w:val="0"/>
                <w:color w:val="000000" w:themeColor="text1"/>
                <w:kern w:val="2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袋式除尘器原理示意图</w:t>
            </w:r>
          </w:p>
          <w:p w14:paraId="4D4FDE19">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eastAsia="zh-CN"/>
                <w14:textFill>
                  <w14:solidFill>
                    <w14:schemeClr w14:val="tx1"/>
                  </w14:solidFill>
                </w14:textFill>
              </w:rPr>
              <w:t>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喷入袋内，实现清灰。当控制信号停止后，电磁阀关闭，小膜片、大膜片相继复位，喷吹停止。</w:t>
            </w:r>
          </w:p>
          <w:p w14:paraId="3FF9C005">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t>项目颗粒物采用袋式除尘器处理，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它的除尘效率可高达99%以上，属于高效除尘器。本项目生产过程中产生的颗粒物属于细小、干燥、非纤维性颗粒，采用袋式除尘器净化处理的措施可行。</w:t>
            </w:r>
          </w:p>
          <w:p w14:paraId="7626F59D">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1"/>
                <w:sz w:val="24"/>
                <w:szCs w:val="24"/>
                <w:highlight w:val="none"/>
                <w:lang w:val="en-US" w:eastAsia="zh-CN"/>
                <w14:textFill>
                  <w14:solidFill>
                    <w14:schemeClr w14:val="tx1"/>
                  </w14:solidFill>
                </w14:textFill>
              </w:rPr>
              <w:t>原料堆场至于密闭厂房内并在顶部设置喷雾抑尘系统，具有简单、易行、抑尘效果显著的特点，是抑制大面积颗粒及粉状物料粉尘的有效措施，本项目对石子、砂采取的抑尘措施可行。</w:t>
            </w:r>
          </w:p>
          <w:p w14:paraId="51790BD8">
            <w:pPr>
              <w:keepLines w:val="0"/>
              <w:pageBreakBefore w:val="0"/>
              <w:widowControl/>
              <w:kinsoku/>
              <w:bidi w:val="0"/>
              <w:snapToGrid/>
              <w:spacing w:beforeLines="0" w:afterLines="0" w:line="360" w:lineRule="auto"/>
              <w:ind w:firstLine="482" w:firstLineChars="200"/>
              <w:textAlignment w:val="baseline"/>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21"/>
                <w:sz w:val="24"/>
                <w:szCs w:val="24"/>
                <w:highlight w:val="none"/>
                <w:lang w:val="en-US" w:eastAsia="zh-CN"/>
                <w14:textFill>
                  <w14:solidFill>
                    <w14:schemeClr w14:val="tx1"/>
                  </w14:solidFill>
                </w14:textFill>
              </w:rPr>
              <w:t>通过以上分析，</w:t>
            </w:r>
            <w:r>
              <w:rPr>
                <w:rFonts w:hint="default" w:ascii="Times New Roman" w:hAnsi="Times New Roman" w:eastAsia="宋体" w:cs="Times New Roman"/>
                <w:b/>
                <w:bCs w:val="0"/>
                <w:color w:val="000000" w:themeColor="text1"/>
                <w:kern w:val="21"/>
                <w:sz w:val="24"/>
                <w:szCs w:val="24"/>
                <w:highlight w:val="none"/>
                <w:lang w:eastAsia="zh-CN"/>
                <w14:textFill>
                  <w14:solidFill>
                    <w14:schemeClr w14:val="tx1"/>
                  </w14:solidFill>
                </w14:textFill>
              </w:rPr>
              <w:t>本项目的废气治理措选用袋式除尘器对颗粒物进行处理的废气治理措施是可行的。</w:t>
            </w:r>
          </w:p>
          <w:p w14:paraId="596B331F">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）废气非正常工况污染源源强核算及防治措施</w:t>
            </w:r>
          </w:p>
          <w:p w14:paraId="4E7EC15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1）废气非正常工况污染源源强核算</w:t>
            </w:r>
          </w:p>
          <w:p w14:paraId="45FB4126">
            <w:pPr>
              <w:widowControl/>
              <w:spacing w:beforeLines="0" w:afterLines="0" w:line="360" w:lineRule="auto"/>
              <w:ind w:firstLine="480" w:firstLineChars="200"/>
              <w:textAlignment w:val="baseline"/>
              <w:rPr>
                <w:rFonts w:hint="default" w:ascii="Times New Roman" w:hAnsi="Times New Roman" w:cs="Times New Roman"/>
                <w:bCs/>
                <w:color w:val="000000" w:themeColor="text1"/>
                <w:kern w:val="21"/>
                <w:sz w:val="24"/>
                <w:szCs w:val="24"/>
                <w:highlight w:val="none"/>
                <w14:textFill>
                  <w14:solidFill>
                    <w14:schemeClr w14:val="tx1"/>
                  </w14:solidFill>
                </w14:textFill>
              </w:rPr>
            </w:pPr>
            <w:r>
              <w:rPr>
                <w:rFonts w:hint="default" w:ascii="Times New Roman" w:hAnsi="Times New Roman" w:cs="Times New Roman"/>
                <w:bCs/>
                <w:color w:val="000000" w:themeColor="text1"/>
                <w:kern w:val="21"/>
                <w:sz w:val="24"/>
                <w:szCs w:val="24"/>
                <w:highlight w:val="none"/>
                <w14:textFill>
                  <w14:solidFill>
                    <w14:schemeClr w14:val="tx1"/>
                  </w14:solidFill>
                </w14:textFill>
              </w:rPr>
              <w:t>非正常排放一般包括开停车、检修、环保设施不达标三种情况。</w:t>
            </w:r>
          </w:p>
          <w:p w14:paraId="176D5486">
            <w:pPr>
              <w:widowControl/>
              <w:spacing w:beforeLines="0" w:afterLines="0" w:line="360" w:lineRule="auto"/>
              <w:ind w:firstLine="480" w:firstLineChars="200"/>
              <w:textAlignment w:val="baseline"/>
              <w:rPr>
                <w:rFonts w:hint="default" w:ascii="Times New Roman" w:hAnsi="Times New Roman" w:cs="Times New Roman"/>
                <w:bCs/>
                <w:color w:val="000000" w:themeColor="text1"/>
                <w:kern w:val="21"/>
                <w:sz w:val="24"/>
                <w:szCs w:val="24"/>
                <w:highlight w:val="none"/>
                <w14:textFill>
                  <w14:solidFill>
                    <w14:schemeClr w14:val="tx1"/>
                  </w14:solidFill>
                </w14:textFill>
              </w:rPr>
            </w:pPr>
            <w:r>
              <w:rPr>
                <w:rFonts w:hint="default" w:ascii="Times New Roman" w:hAnsi="Times New Roman" w:cs="Times New Roman"/>
                <w:bCs/>
                <w:color w:val="000000" w:themeColor="text1"/>
                <w:kern w:val="21"/>
                <w:sz w:val="24"/>
                <w:szCs w:val="24"/>
                <w:highlight w:val="none"/>
                <w14:textFill>
                  <w14:solidFill>
                    <w14:schemeClr w14:val="tx1"/>
                  </w14:solidFill>
                </w14:textFill>
              </w:rPr>
              <w:t>本项目在开车时，首先运行废气处理装置，然后进行生产作业，使生产中的废气都能得到及时处理。停车时，废气处理装置继续运转，待工艺中的废气完全排出后再关闭。设备检修以及突发性故障（如，区域性停电时的停车），企业会事先安排好设备正常停车，停止生产。</w:t>
            </w:r>
          </w:p>
          <w:p w14:paraId="78C70F17">
            <w:pPr>
              <w:widowControl/>
              <w:spacing w:beforeLines="0" w:afterLines="0" w:line="360" w:lineRule="auto"/>
              <w:ind w:firstLine="480" w:firstLineChars="200"/>
              <w:textAlignment w:val="baseline"/>
              <w:rPr>
                <w:rFonts w:hint="default" w:ascii="Times New Roman" w:hAnsi="Times New Roman" w:cs="Times New Roman"/>
                <w:bCs/>
                <w:color w:val="000000" w:themeColor="text1"/>
                <w:kern w:val="21"/>
                <w:sz w:val="24"/>
                <w:szCs w:val="24"/>
                <w:highlight w:val="none"/>
                <w14:textFill>
                  <w14:solidFill>
                    <w14:schemeClr w14:val="tx1"/>
                  </w14:solidFill>
                </w14:textFill>
              </w:rPr>
            </w:pPr>
            <w:r>
              <w:rPr>
                <w:rFonts w:hint="default" w:ascii="Times New Roman" w:hAnsi="Times New Roman" w:cs="Times New Roman"/>
                <w:bCs/>
                <w:color w:val="000000" w:themeColor="text1"/>
                <w:kern w:val="21"/>
                <w:sz w:val="24"/>
                <w:szCs w:val="24"/>
                <w:highlight w:val="none"/>
                <w14:textFill>
                  <w14:solidFill>
                    <w14:schemeClr w14:val="tx1"/>
                  </w14:solidFill>
                </w14:textFill>
              </w:rPr>
              <w:t>项目在开、停车时排出污染物均可得到有效处理，排出的污染物和正常生产时的情况基本一致。突发性故障造成废气处理设施发生故障，达不到设计的去除效率。本项目考虑非正常排放时，除尘器的去除效率下降到</w:t>
            </w:r>
            <w:r>
              <w:rPr>
                <w:rFonts w:hint="default" w:ascii="Times New Roman" w:hAnsi="Times New Roman" w:cs="Times New Roman"/>
                <w:bCs/>
                <w:color w:val="000000" w:themeColor="text1"/>
                <w:kern w:val="21"/>
                <w:sz w:val="24"/>
                <w:szCs w:val="24"/>
                <w:highlight w:val="none"/>
                <w:lang w:val="en-US" w:eastAsia="zh-CN"/>
                <w14:textFill>
                  <w14:solidFill>
                    <w14:schemeClr w14:val="tx1"/>
                  </w14:solidFill>
                </w14:textFill>
              </w:rPr>
              <w:t>0</w:t>
            </w:r>
            <w:r>
              <w:rPr>
                <w:rFonts w:hint="default" w:ascii="Times New Roman" w:hAnsi="Times New Roman" w:cs="Times New Roman"/>
                <w:bCs/>
                <w:color w:val="000000" w:themeColor="text1"/>
                <w:kern w:val="21"/>
                <w:sz w:val="24"/>
                <w:szCs w:val="24"/>
                <w:highlight w:val="none"/>
                <w14:textFill>
                  <w14:solidFill>
                    <w14:schemeClr w14:val="tx1"/>
                  </w14:solidFill>
                </w14:textFill>
              </w:rPr>
              <w:t>%。非正常排放历时不超过</w:t>
            </w:r>
            <w:r>
              <w:rPr>
                <w:rFonts w:hint="default" w:ascii="Times New Roman" w:hAnsi="Times New Roman" w:cs="Times New Roman"/>
                <w:bCs/>
                <w:color w:val="000000" w:themeColor="text1"/>
                <w:kern w:val="21"/>
                <w:sz w:val="24"/>
                <w:szCs w:val="24"/>
                <w:highlight w:val="none"/>
                <w:lang w:val="en-US" w:eastAsia="zh-CN"/>
                <w14:textFill>
                  <w14:solidFill>
                    <w14:schemeClr w14:val="tx1"/>
                  </w14:solidFill>
                </w14:textFill>
              </w:rPr>
              <w:t>1h</w:t>
            </w:r>
            <w:r>
              <w:rPr>
                <w:rFonts w:hint="default" w:ascii="Times New Roman" w:hAnsi="Times New Roman" w:cs="Times New Roman"/>
                <w:bCs/>
                <w:color w:val="000000" w:themeColor="text1"/>
                <w:kern w:val="21"/>
                <w:sz w:val="24"/>
                <w:szCs w:val="24"/>
                <w:highlight w:val="none"/>
                <w14:textFill>
                  <w14:solidFill>
                    <w14:schemeClr w14:val="tx1"/>
                  </w14:solidFill>
                </w14:textFill>
              </w:rPr>
              <w:t>，项目非正常工况频次按照每年发生</w:t>
            </w:r>
            <w:r>
              <w:rPr>
                <w:rFonts w:hint="default" w:ascii="Times New Roman" w:hAnsi="Times New Roman" w:cs="Times New Roman"/>
                <w:bCs/>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kern w:val="21"/>
                <w:sz w:val="24"/>
                <w:szCs w:val="24"/>
                <w:highlight w:val="none"/>
                <w14:textFill>
                  <w14:solidFill>
                    <w14:schemeClr w14:val="tx1"/>
                  </w14:solidFill>
                </w14:textFill>
              </w:rPr>
              <w:t>次计。在非正常工况下，污染物排放情况如下表所示。</w:t>
            </w:r>
          </w:p>
          <w:p w14:paraId="37BD8E0F">
            <w:pPr>
              <w:spacing w:beforeLines="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表4-</w:t>
            </w:r>
            <w:r>
              <w:rPr>
                <w:rFonts w:hint="default" w:ascii="Times New Roman" w:hAnsi="Times New Roman" w:cs="Times New Roman"/>
                <w:b/>
                <w:color w:val="000000" w:themeColor="text1"/>
                <w:kern w:val="21"/>
                <w:szCs w:val="21"/>
                <w:highlight w:val="none"/>
                <w:lang w:val="en-US" w:eastAsia="zh-CN"/>
                <w14:textFill>
                  <w14:solidFill>
                    <w14:schemeClr w14:val="tx1"/>
                  </w14:solidFill>
                </w14:textFill>
              </w:rPr>
              <w:t xml:space="preserve">7   </w:t>
            </w:r>
            <w:r>
              <w:rPr>
                <w:rFonts w:hint="default" w:ascii="Times New Roman" w:hAnsi="Times New Roman" w:cs="Times New Roman"/>
                <w:b/>
                <w:color w:val="000000" w:themeColor="text1"/>
                <w:kern w:val="21"/>
                <w:szCs w:val="21"/>
                <w:highlight w:val="none"/>
                <w14:textFill>
                  <w14:solidFill>
                    <w14:schemeClr w14:val="tx1"/>
                  </w14:solidFill>
                </w14:textFill>
              </w:rPr>
              <w:t>污染源非正常排放核算表</w:t>
            </w:r>
          </w:p>
          <w:tbl>
            <w:tblPr>
              <w:tblStyle w:val="35"/>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5"/>
              <w:gridCol w:w="1144"/>
              <w:gridCol w:w="956"/>
              <w:gridCol w:w="1215"/>
              <w:gridCol w:w="1036"/>
              <w:gridCol w:w="958"/>
              <w:gridCol w:w="958"/>
              <w:gridCol w:w="958"/>
            </w:tblGrid>
            <w:tr w14:paraId="7D30EA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17" w:type="pct"/>
                  <w:shd w:val="clear" w:color="auto" w:fill="auto"/>
                  <w:noWrap w:val="0"/>
                  <w:vAlign w:val="center"/>
                </w:tcPr>
                <w:p w14:paraId="6765C04B">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非正常排放源</w:t>
                  </w:r>
                </w:p>
              </w:tc>
              <w:tc>
                <w:tcPr>
                  <w:tcW w:w="710" w:type="pct"/>
                  <w:shd w:val="clear" w:color="auto" w:fill="auto"/>
                  <w:noWrap w:val="0"/>
                  <w:vAlign w:val="center"/>
                </w:tcPr>
                <w:p w14:paraId="00694D94">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非正常排放原因</w:t>
                  </w:r>
                </w:p>
              </w:tc>
              <w:tc>
                <w:tcPr>
                  <w:tcW w:w="593" w:type="pct"/>
                  <w:shd w:val="clear" w:color="auto" w:fill="auto"/>
                  <w:noWrap w:val="0"/>
                  <w:vAlign w:val="center"/>
                </w:tcPr>
                <w:p w14:paraId="2BB6602C">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非正常排放因子</w:t>
                  </w:r>
                </w:p>
              </w:tc>
              <w:tc>
                <w:tcPr>
                  <w:tcW w:w="753" w:type="pct"/>
                  <w:shd w:val="clear" w:color="auto" w:fill="auto"/>
                  <w:noWrap w:val="0"/>
                  <w:vAlign w:val="center"/>
                </w:tcPr>
                <w:p w14:paraId="414F2BCB">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非正常排放浓度/（mg/m³）</w:t>
                  </w:r>
                </w:p>
              </w:tc>
              <w:tc>
                <w:tcPr>
                  <w:tcW w:w="642" w:type="pct"/>
                  <w:shd w:val="clear" w:color="auto" w:fill="auto"/>
                  <w:noWrap w:val="0"/>
                  <w:vAlign w:val="center"/>
                </w:tcPr>
                <w:p w14:paraId="4B639BDC">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非正常排放速率/（</w:t>
                  </w:r>
                  <w:r>
                    <w:rPr>
                      <w:rFonts w:hint="default" w:ascii="Times New Roman" w:hAnsi="Times New Roman" w:cs="Times New Roman"/>
                      <w:b/>
                      <w:bCs/>
                      <w:color w:val="000000" w:themeColor="text1"/>
                      <w:kern w:val="21"/>
                      <w:szCs w:val="21"/>
                      <w:highlight w:val="none"/>
                      <w:lang w:val="en-US" w:eastAsia="zh-CN"/>
                      <w14:textFill>
                        <w14:solidFill>
                          <w14:schemeClr w14:val="tx1"/>
                        </w14:solidFill>
                      </w14:textFill>
                    </w:rPr>
                    <w:t>kg</w:t>
                  </w:r>
                  <w:r>
                    <w:rPr>
                      <w:rFonts w:hint="default" w:ascii="Times New Roman" w:hAnsi="Times New Roman" w:cs="Times New Roman"/>
                      <w:b/>
                      <w:bCs/>
                      <w:color w:val="000000" w:themeColor="text1"/>
                      <w:kern w:val="21"/>
                      <w:szCs w:val="21"/>
                      <w:highlight w:val="none"/>
                      <w14:textFill>
                        <w14:solidFill>
                          <w14:schemeClr w14:val="tx1"/>
                        </w14:solidFill>
                      </w14:textFill>
                    </w:rPr>
                    <w:t>/h）</w:t>
                  </w:r>
                </w:p>
              </w:tc>
              <w:tc>
                <w:tcPr>
                  <w:tcW w:w="594" w:type="pct"/>
                  <w:shd w:val="clear" w:color="auto" w:fill="auto"/>
                  <w:noWrap w:val="0"/>
                  <w:vAlign w:val="center"/>
                </w:tcPr>
                <w:p w14:paraId="10CCE61D">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非正常排放量/（</w:t>
                  </w:r>
                  <w:r>
                    <w:rPr>
                      <w:rFonts w:hint="default" w:ascii="Times New Roman" w:hAnsi="Times New Roman" w:cs="Times New Roman"/>
                      <w:b/>
                      <w:bCs/>
                      <w:color w:val="000000" w:themeColor="text1"/>
                      <w:kern w:val="21"/>
                      <w:szCs w:val="21"/>
                      <w:highlight w:val="none"/>
                      <w:lang w:val="en-US" w:eastAsia="zh-CN"/>
                      <w14:textFill>
                        <w14:solidFill>
                          <w14:schemeClr w14:val="tx1"/>
                        </w14:solidFill>
                      </w14:textFill>
                    </w:rPr>
                    <w:t>kg</w:t>
                  </w:r>
                  <w:r>
                    <w:rPr>
                      <w:rFonts w:hint="default" w:ascii="Times New Roman" w:hAnsi="Times New Roman" w:cs="Times New Roman"/>
                      <w:b/>
                      <w:bCs/>
                      <w:color w:val="000000" w:themeColor="text1"/>
                      <w:kern w:val="21"/>
                      <w:szCs w:val="21"/>
                      <w:highlight w:val="none"/>
                      <w14:textFill>
                        <w14:solidFill>
                          <w14:schemeClr w14:val="tx1"/>
                        </w14:solidFill>
                      </w14:textFill>
                    </w:rPr>
                    <w:t>）</w:t>
                  </w:r>
                </w:p>
              </w:tc>
              <w:tc>
                <w:tcPr>
                  <w:tcW w:w="594" w:type="pct"/>
                  <w:shd w:val="clear" w:color="auto" w:fill="auto"/>
                  <w:noWrap w:val="0"/>
                  <w:vAlign w:val="center"/>
                </w:tcPr>
                <w:p w14:paraId="0AE251CC">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单次持续时间/h</w:t>
                  </w:r>
                </w:p>
              </w:tc>
              <w:tc>
                <w:tcPr>
                  <w:tcW w:w="594" w:type="pct"/>
                  <w:shd w:val="clear" w:color="auto" w:fill="auto"/>
                  <w:noWrap w:val="0"/>
                  <w:vAlign w:val="center"/>
                </w:tcPr>
                <w:p w14:paraId="7851A9B8">
                  <w:pPr>
                    <w:widowControl/>
                    <w:adjustRightInd w:val="0"/>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年发生频次/次</w:t>
                  </w:r>
                </w:p>
              </w:tc>
            </w:tr>
            <w:tr w14:paraId="52D62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shd w:val="clear" w:color="auto" w:fill="auto"/>
                  <w:noWrap w:val="0"/>
                  <w:vAlign w:val="center"/>
                </w:tcPr>
                <w:p w14:paraId="7DF812E8">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DA001</w:t>
                  </w:r>
                </w:p>
              </w:tc>
              <w:tc>
                <w:tcPr>
                  <w:tcW w:w="710" w:type="pct"/>
                  <w:vMerge w:val="restart"/>
                  <w:shd w:val="clear" w:color="auto" w:fill="auto"/>
                  <w:noWrap w:val="0"/>
                  <w:vAlign w:val="center"/>
                </w:tcPr>
                <w:p w14:paraId="7FD36A01">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废气处理系统故障或未正常启用废气处理装置</w:t>
                  </w:r>
                </w:p>
              </w:tc>
              <w:tc>
                <w:tcPr>
                  <w:tcW w:w="593" w:type="pct"/>
                  <w:shd w:val="clear" w:color="auto" w:fill="auto"/>
                  <w:noWrap w:val="0"/>
                  <w:vAlign w:val="center"/>
                </w:tcPr>
                <w:p w14:paraId="713A24CC">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颗粒物</w:t>
                  </w:r>
                </w:p>
              </w:tc>
              <w:tc>
                <w:tcPr>
                  <w:tcW w:w="753" w:type="pct"/>
                  <w:shd w:val="clear" w:color="auto" w:fill="auto"/>
                  <w:noWrap w:val="0"/>
                  <w:vAlign w:val="center"/>
                </w:tcPr>
                <w:p w14:paraId="6F59CD34">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23.5</w:t>
                  </w:r>
                </w:p>
              </w:tc>
              <w:tc>
                <w:tcPr>
                  <w:tcW w:w="642" w:type="pct"/>
                  <w:shd w:val="clear" w:color="auto" w:fill="auto"/>
                  <w:noWrap w:val="0"/>
                  <w:vAlign w:val="center"/>
                </w:tcPr>
                <w:p w14:paraId="4F65AB3B">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26</w:t>
                  </w:r>
                </w:p>
              </w:tc>
              <w:tc>
                <w:tcPr>
                  <w:tcW w:w="594" w:type="pct"/>
                  <w:shd w:val="clear" w:color="auto" w:fill="auto"/>
                  <w:noWrap w:val="0"/>
                  <w:vAlign w:val="center"/>
                </w:tcPr>
                <w:p w14:paraId="02852E94">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26</w:t>
                  </w:r>
                </w:p>
              </w:tc>
              <w:tc>
                <w:tcPr>
                  <w:tcW w:w="594" w:type="pct"/>
                  <w:shd w:val="clear" w:color="auto" w:fill="auto"/>
                  <w:noWrap w:val="0"/>
                  <w:vAlign w:val="center"/>
                </w:tcPr>
                <w:p w14:paraId="6D54BB42">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1</w:t>
                  </w:r>
                </w:p>
              </w:tc>
              <w:tc>
                <w:tcPr>
                  <w:tcW w:w="594" w:type="pct"/>
                  <w:shd w:val="clear" w:color="auto" w:fill="auto"/>
                  <w:noWrap w:val="0"/>
                  <w:vAlign w:val="center"/>
                </w:tcPr>
                <w:p w14:paraId="7BA9A889">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1</w:t>
                  </w:r>
                </w:p>
              </w:tc>
            </w:tr>
            <w:tr w14:paraId="69F018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shd w:val="clear" w:color="auto" w:fill="auto"/>
                  <w:noWrap w:val="0"/>
                  <w:vAlign w:val="center"/>
                </w:tcPr>
                <w:p w14:paraId="6749129A">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DA00</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c>
                <w:tcPr>
                  <w:tcW w:w="710" w:type="pct"/>
                  <w:vMerge w:val="continue"/>
                  <w:shd w:val="clear" w:color="auto" w:fill="auto"/>
                  <w:noWrap w:val="0"/>
                  <w:vAlign w:val="center"/>
                </w:tcPr>
                <w:p w14:paraId="74A1ECF1">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p>
              </w:tc>
              <w:tc>
                <w:tcPr>
                  <w:tcW w:w="593" w:type="pct"/>
                  <w:shd w:val="clear" w:color="auto" w:fill="auto"/>
                  <w:noWrap w:val="0"/>
                  <w:vAlign w:val="center"/>
                </w:tcPr>
                <w:p w14:paraId="1E97F39C">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53" w:type="pct"/>
                  <w:shd w:val="clear" w:color="auto" w:fill="auto"/>
                  <w:noWrap w:val="0"/>
                  <w:vAlign w:val="center"/>
                </w:tcPr>
                <w:p w14:paraId="5DB70154">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229</w:t>
                  </w:r>
                </w:p>
              </w:tc>
              <w:tc>
                <w:tcPr>
                  <w:tcW w:w="642" w:type="pct"/>
                  <w:shd w:val="clear" w:color="auto" w:fill="auto"/>
                  <w:noWrap w:val="0"/>
                  <w:vAlign w:val="center"/>
                </w:tcPr>
                <w:p w14:paraId="33E210B2">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9.5</w:t>
                  </w:r>
                </w:p>
              </w:tc>
              <w:tc>
                <w:tcPr>
                  <w:tcW w:w="594" w:type="pct"/>
                  <w:shd w:val="clear" w:color="auto" w:fill="auto"/>
                  <w:noWrap w:val="0"/>
                  <w:vAlign w:val="center"/>
                </w:tcPr>
                <w:p w14:paraId="491988E9">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9.5</w:t>
                  </w:r>
                </w:p>
              </w:tc>
              <w:tc>
                <w:tcPr>
                  <w:tcW w:w="594" w:type="pct"/>
                  <w:shd w:val="clear" w:color="auto" w:fill="auto"/>
                  <w:noWrap w:val="0"/>
                  <w:vAlign w:val="center"/>
                </w:tcPr>
                <w:p w14:paraId="4BE267A5">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c>
                <w:tcPr>
                  <w:tcW w:w="594" w:type="pct"/>
                  <w:shd w:val="clear" w:color="auto" w:fill="auto"/>
                  <w:noWrap w:val="0"/>
                  <w:vAlign w:val="center"/>
                </w:tcPr>
                <w:p w14:paraId="388058A2">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r>
            <w:tr w14:paraId="1DEE7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shd w:val="clear" w:color="auto" w:fill="auto"/>
                  <w:noWrap w:val="0"/>
                  <w:vAlign w:val="center"/>
                </w:tcPr>
                <w:p w14:paraId="2769B84E">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DA00</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c>
                <w:tcPr>
                  <w:tcW w:w="710" w:type="pct"/>
                  <w:vMerge w:val="continue"/>
                  <w:shd w:val="clear" w:color="auto" w:fill="auto"/>
                  <w:noWrap w:val="0"/>
                  <w:vAlign w:val="center"/>
                </w:tcPr>
                <w:p w14:paraId="02FE7854">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p>
              </w:tc>
              <w:tc>
                <w:tcPr>
                  <w:tcW w:w="593" w:type="pct"/>
                  <w:shd w:val="clear" w:color="auto" w:fill="auto"/>
                  <w:noWrap w:val="0"/>
                  <w:vAlign w:val="center"/>
                </w:tcPr>
                <w:p w14:paraId="015F2BB8">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53" w:type="pct"/>
                  <w:shd w:val="clear" w:color="auto" w:fill="auto"/>
                  <w:noWrap w:val="0"/>
                  <w:vAlign w:val="center"/>
                </w:tcPr>
                <w:p w14:paraId="77FB8E14">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229</w:t>
                  </w:r>
                </w:p>
              </w:tc>
              <w:tc>
                <w:tcPr>
                  <w:tcW w:w="642" w:type="pct"/>
                  <w:shd w:val="clear" w:color="auto" w:fill="auto"/>
                  <w:noWrap w:val="0"/>
                  <w:vAlign w:val="center"/>
                </w:tcPr>
                <w:p w14:paraId="07644C3E">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9.5</w:t>
                  </w:r>
                </w:p>
              </w:tc>
              <w:tc>
                <w:tcPr>
                  <w:tcW w:w="594" w:type="pct"/>
                  <w:shd w:val="clear" w:color="auto" w:fill="auto"/>
                  <w:noWrap w:val="0"/>
                  <w:vAlign w:val="center"/>
                </w:tcPr>
                <w:p w14:paraId="56CA1D8F">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9.5</w:t>
                  </w:r>
                </w:p>
              </w:tc>
              <w:tc>
                <w:tcPr>
                  <w:tcW w:w="594" w:type="pct"/>
                  <w:shd w:val="clear" w:color="auto" w:fill="auto"/>
                  <w:noWrap w:val="0"/>
                  <w:vAlign w:val="center"/>
                </w:tcPr>
                <w:p w14:paraId="32AB5D9A">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c>
                <w:tcPr>
                  <w:tcW w:w="594" w:type="pct"/>
                  <w:shd w:val="clear" w:color="auto" w:fill="auto"/>
                  <w:noWrap w:val="0"/>
                  <w:vAlign w:val="center"/>
                </w:tcPr>
                <w:p w14:paraId="63E80A1B">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r>
            <w:tr w14:paraId="5709D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shd w:val="clear" w:color="auto" w:fill="auto"/>
                  <w:noWrap w:val="0"/>
                  <w:vAlign w:val="center"/>
                </w:tcPr>
                <w:p w14:paraId="6E1620E4">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DA00</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p>
              </w:tc>
              <w:tc>
                <w:tcPr>
                  <w:tcW w:w="710" w:type="pct"/>
                  <w:vMerge w:val="continue"/>
                  <w:shd w:val="clear" w:color="auto" w:fill="auto"/>
                  <w:noWrap w:val="0"/>
                  <w:vAlign w:val="center"/>
                </w:tcPr>
                <w:p w14:paraId="0A6D7887">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p>
              </w:tc>
              <w:tc>
                <w:tcPr>
                  <w:tcW w:w="593" w:type="pct"/>
                  <w:shd w:val="clear" w:color="auto" w:fill="auto"/>
                  <w:noWrap w:val="0"/>
                  <w:vAlign w:val="center"/>
                </w:tcPr>
                <w:p w14:paraId="4C40A083">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53" w:type="pct"/>
                  <w:shd w:val="clear" w:color="auto" w:fill="auto"/>
                  <w:noWrap w:val="0"/>
                  <w:vAlign w:val="center"/>
                </w:tcPr>
                <w:p w14:paraId="7480B158">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217.2</w:t>
                  </w:r>
                </w:p>
              </w:tc>
              <w:tc>
                <w:tcPr>
                  <w:tcW w:w="642" w:type="pct"/>
                  <w:shd w:val="clear" w:color="auto" w:fill="auto"/>
                  <w:noWrap w:val="0"/>
                  <w:vAlign w:val="center"/>
                </w:tcPr>
                <w:p w14:paraId="4EEC52B3">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c>
                <w:tcPr>
                  <w:tcW w:w="594" w:type="pct"/>
                  <w:shd w:val="clear" w:color="auto" w:fill="auto"/>
                  <w:noWrap w:val="0"/>
                  <w:vAlign w:val="center"/>
                </w:tcPr>
                <w:p w14:paraId="3D3EDE11">
                  <w:pPr>
                    <w:widowControl/>
                    <w:adjustRightInd w:val="0"/>
                    <w:spacing w:before="157" w:beforeLines="50" w:afterLines="0" w:line="360" w:lineRule="auto"/>
                    <w:jc w:val="cente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3</w:t>
                  </w:r>
                </w:p>
              </w:tc>
              <w:tc>
                <w:tcPr>
                  <w:tcW w:w="594" w:type="pct"/>
                  <w:shd w:val="clear" w:color="auto" w:fill="auto"/>
                  <w:noWrap w:val="0"/>
                  <w:vAlign w:val="center"/>
                </w:tcPr>
                <w:p w14:paraId="78661FE8">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c>
                <w:tcPr>
                  <w:tcW w:w="594" w:type="pct"/>
                  <w:shd w:val="clear" w:color="auto" w:fill="auto"/>
                  <w:noWrap w:val="0"/>
                  <w:vAlign w:val="center"/>
                </w:tcPr>
                <w:p w14:paraId="69F86CF2">
                  <w:pPr>
                    <w:widowControl/>
                    <w:adjustRightInd w:val="0"/>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r>
          </w:tbl>
          <w:p w14:paraId="48422D8A">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2）废气非正常工况防治措施</w:t>
            </w:r>
          </w:p>
          <w:p w14:paraId="58384D93">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FE06809">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①安排专人负责环保设备的日常维护和管理，每个固定时间检查、汇报情况，及时发现废气处理设备的隐患，确保废气处理系统正常运行；</w:t>
            </w:r>
          </w:p>
          <w:p w14:paraId="2F800FE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②建立健全的环保管理机构，对环保管理人员和技术人员进行岗位培训，委托具有专业资质的环境检测单位对项目排放的各类污染物进行定期检测；</w:t>
            </w:r>
          </w:p>
          <w:p w14:paraId="1CE7ACC6">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③应定期维护、检修废气净化装置，以保持废气处理装置的净化能力和净化容量。</w:t>
            </w:r>
          </w:p>
          <w:p w14:paraId="57153710">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④每班次开工前，确认废气处理设备开启并正常运行。若有需要停产检修的情况，需要关闭生产设备一段时间后再关闭废气处理设备，不存在废气突然排放的情况。</w:t>
            </w:r>
          </w:p>
          <w:p w14:paraId="15B25E19">
            <w:pPr>
              <w:widowControl/>
              <w:adjustRightInd w:val="0"/>
              <w:spacing w:beforeLines="0" w:afterLines="0" w:line="360" w:lineRule="auto"/>
              <w:ind w:firstLine="482"/>
              <w:contextualSpacing/>
              <w:rPr>
                <w:rFonts w:cs="宋体"/>
                <w:b/>
                <w:bCs/>
                <w:color w:val="000000" w:themeColor="text1"/>
                <w:kern w:val="0"/>
                <w:sz w:val="24"/>
                <w:szCs w:val="24"/>
                <w:highlight w:val="none"/>
                <w14:textFill>
                  <w14:solidFill>
                    <w14:schemeClr w14:val="tx1"/>
                  </w14:solidFill>
                </w14:textFill>
              </w:rPr>
            </w:pPr>
            <w:r>
              <w:rPr>
                <w:rFonts w:hint="eastAsia" w:cs="宋体"/>
                <w:b/>
                <w:bCs/>
                <w:color w:val="000000" w:themeColor="text1"/>
                <w:kern w:val="0"/>
                <w:sz w:val="24"/>
                <w:szCs w:val="24"/>
                <w:highlight w:val="none"/>
                <w14:textFill>
                  <w14:solidFill>
                    <w14:schemeClr w14:val="tx1"/>
                  </w14:solidFill>
                </w14:textFill>
              </w:rPr>
              <w:t>（</w:t>
            </w:r>
            <w:r>
              <w:rPr>
                <w:rFonts w:hint="eastAsia" w:cs="宋体"/>
                <w:b/>
                <w:bCs/>
                <w:color w:val="000000" w:themeColor="text1"/>
                <w:kern w:val="0"/>
                <w:sz w:val="24"/>
                <w:szCs w:val="24"/>
                <w:highlight w:val="none"/>
                <w:lang w:eastAsia="zh-CN"/>
                <w14:textFill>
                  <w14:solidFill>
                    <w14:schemeClr w14:val="tx1"/>
                  </w14:solidFill>
                </w14:textFill>
              </w:rPr>
              <w:t>5</w:t>
            </w:r>
            <w:r>
              <w:rPr>
                <w:rFonts w:hint="eastAsia" w:cs="宋体"/>
                <w:b/>
                <w:bCs/>
                <w:color w:val="000000" w:themeColor="text1"/>
                <w:kern w:val="0"/>
                <w:sz w:val="24"/>
                <w:szCs w:val="24"/>
                <w:highlight w:val="none"/>
                <w14:textFill>
                  <w14:solidFill>
                    <w14:schemeClr w14:val="tx1"/>
                  </w14:solidFill>
                </w14:textFill>
              </w:rPr>
              <w:t>）卫生防护距离</w:t>
            </w:r>
          </w:p>
          <w:p w14:paraId="5227D301">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结合项目行业特点，以及排放的污染物的性质，本次评价选取</w:t>
            </w:r>
            <w:r>
              <w:rPr>
                <w:rFonts w:hint="eastAsia"/>
                <w:color w:val="000000" w:themeColor="text1"/>
                <w:sz w:val="24"/>
                <w:szCs w:val="24"/>
                <w:highlight w:val="none"/>
                <w:lang w:val="en-US" w:eastAsia="zh-CN"/>
                <w14:textFill>
                  <w14:solidFill>
                    <w14:schemeClr w14:val="tx1"/>
                  </w14:solidFill>
                </w14:textFill>
              </w:rPr>
              <w:t>TSP</w:t>
            </w:r>
            <w:r>
              <w:rPr>
                <w:rFonts w:hint="eastAsia"/>
                <w:color w:val="000000" w:themeColor="text1"/>
                <w:sz w:val="24"/>
                <w:szCs w:val="24"/>
                <w:highlight w:val="none"/>
                <w14:textFill>
                  <w14:solidFill>
                    <w14:schemeClr w14:val="tx1"/>
                  </w14:solidFill>
                </w14:textFill>
              </w:rPr>
              <w:t>作为评价因子。</w:t>
            </w:r>
          </w:p>
          <w:p w14:paraId="4F276C17">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卫生防护距离初值计算公式采用（GB/T3840-1991）《制定地方大气污染物排放标准的技术方法》中7.4推荐的估算方法进行计算，具体的计算数学公式如下：</w:t>
            </w:r>
          </w:p>
          <w:p w14:paraId="753B314E">
            <w:pPr>
              <w:pStyle w:val="74"/>
              <w:adjustRightInd w:val="0"/>
              <w:snapToGrid w:val="0"/>
              <w:spacing w:before="0" w:beforeAutospacing="0" w:after="0" w:afterAutospacing="0" w:line="360" w:lineRule="auto"/>
              <w:ind w:firstLine="0"/>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object>
                <v:shape id="_x0000_i1029" o:spt="75" type="#_x0000_t75" style="height:29.35pt;width:119.1pt;" o:ole="t" fillcolor="#6D6D6D"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14:paraId="7B6B00C8">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式中：</w:t>
            </w:r>
          </w:p>
          <w:p w14:paraId="69EAF087">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Cm——</w:t>
            </w:r>
            <w:r>
              <w:rPr>
                <w:rFonts w:hint="eastAsia"/>
                <w:color w:val="000000" w:themeColor="text1"/>
                <w:sz w:val="24"/>
                <w:szCs w:val="24"/>
                <w:highlight w:val="none"/>
                <w14:textFill>
                  <w14:solidFill>
                    <w14:schemeClr w14:val="tx1"/>
                  </w14:solidFill>
                </w14:textFill>
              </w:rPr>
              <w:t>标准浓度限值</w:t>
            </w:r>
            <w:r>
              <w:rPr>
                <w:color w:val="000000" w:themeColor="text1"/>
                <w:sz w:val="24"/>
                <w:szCs w:val="24"/>
                <w:highlight w:val="none"/>
                <w14:textFill>
                  <w14:solidFill>
                    <w14:schemeClr w14:val="tx1"/>
                  </w14:solidFill>
                </w14:textFill>
              </w:rPr>
              <w:t>(mg/Nm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p>
          <w:p w14:paraId="5FD7E0FF">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Qc——</w:t>
            </w:r>
            <w:r>
              <w:rPr>
                <w:rFonts w:hint="eastAsia"/>
                <w:color w:val="000000" w:themeColor="text1"/>
                <w:sz w:val="24"/>
                <w:szCs w:val="24"/>
                <w:highlight w:val="none"/>
                <w14:textFill>
                  <w14:solidFill>
                    <w14:schemeClr w14:val="tx1"/>
                  </w14:solidFill>
                </w14:textFill>
              </w:rPr>
              <w:t>工业企业有害气体无组织排放量可以达到的控制水平</w:t>
            </w:r>
            <w:r>
              <w:rPr>
                <w:color w:val="000000" w:themeColor="text1"/>
                <w:sz w:val="24"/>
                <w:szCs w:val="24"/>
                <w:highlight w:val="none"/>
                <w14:textFill>
                  <w14:solidFill>
                    <w14:schemeClr w14:val="tx1"/>
                  </w14:solidFill>
                </w14:textFill>
              </w:rPr>
              <w:t>(kg/h)</w:t>
            </w:r>
            <w:r>
              <w:rPr>
                <w:rFonts w:hint="eastAsia"/>
                <w:color w:val="000000" w:themeColor="text1"/>
                <w:sz w:val="24"/>
                <w:szCs w:val="24"/>
                <w:highlight w:val="none"/>
                <w14:textFill>
                  <w14:solidFill>
                    <w14:schemeClr w14:val="tx1"/>
                  </w14:solidFill>
                </w14:textFill>
              </w:rPr>
              <w:t>；</w:t>
            </w:r>
          </w:p>
          <w:p w14:paraId="48398779">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L——</w:t>
            </w:r>
            <w:r>
              <w:rPr>
                <w:rFonts w:hint="eastAsia"/>
                <w:color w:val="000000" w:themeColor="text1"/>
                <w:sz w:val="24"/>
                <w:szCs w:val="24"/>
                <w:highlight w:val="none"/>
                <w14:textFill>
                  <w14:solidFill>
                    <w14:schemeClr w14:val="tx1"/>
                  </w14:solidFill>
                </w14:textFill>
              </w:rPr>
              <w:t>工业企业所需卫生防护距离</w:t>
            </w:r>
            <w:r>
              <w:rPr>
                <w:color w:val="000000" w:themeColor="text1"/>
                <w:sz w:val="24"/>
                <w:szCs w:val="24"/>
                <w:highlight w:val="none"/>
                <w14:textFill>
                  <w14:solidFill>
                    <w14:schemeClr w14:val="tx1"/>
                  </w14:solidFill>
                </w14:textFill>
              </w:rPr>
              <w:t>(m)</w:t>
            </w:r>
            <w:r>
              <w:rPr>
                <w:rFonts w:hint="eastAsia"/>
                <w:color w:val="000000" w:themeColor="text1"/>
                <w:sz w:val="24"/>
                <w:szCs w:val="24"/>
                <w:highlight w:val="none"/>
                <w14:textFill>
                  <w14:solidFill>
                    <w14:schemeClr w14:val="tx1"/>
                  </w14:solidFill>
                </w14:textFill>
              </w:rPr>
              <w:t>；</w:t>
            </w:r>
          </w:p>
          <w:p w14:paraId="531F762D">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r——</w:t>
            </w:r>
            <w:r>
              <w:rPr>
                <w:rFonts w:hint="eastAsia"/>
                <w:color w:val="000000" w:themeColor="text1"/>
                <w:sz w:val="24"/>
                <w:szCs w:val="24"/>
                <w:highlight w:val="none"/>
                <w14:textFill>
                  <w14:solidFill>
                    <w14:schemeClr w14:val="tx1"/>
                  </w14:solidFill>
                </w14:textFill>
              </w:rPr>
              <w:t>有害气体无组织排放浓度在生产单元的等效半径</w:t>
            </w:r>
            <w:r>
              <w:rPr>
                <w:color w:val="000000" w:themeColor="text1"/>
                <w:sz w:val="24"/>
                <w:szCs w:val="24"/>
                <w:highlight w:val="none"/>
                <w14:textFill>
                  <w14:solidFill>
                    <w14:schemeClr w14:val="tx1"/>
                  </w14:solidFill>
                </w14:textFill>
              </w:rPr>
              <w:t>(m)</w:t>
            </w:r>
            <w:r>
              <w:rPr>
                <w:rFonts w:hint="eastAsia"/>
                <w:color w:val="000000" w:themeColor="text1"/>
                <w:sz w:val="24"/>
                <w:szCs w:val="24"/>
                <w:highlight w:val="none"/>
                <w14:textFill>
                  <w14:solidFill>
                    <w14:schemeClr w14:val="tx1"/>
                  </w14:solidFill>
                </w14:textFill>
              </w:rPr>
              <w:t>，根据该生产单元占地面积</w:t>
            </w:r>
            <w:r>
              <w:rPr>
                <w:color w:val="000000" w:themeColor="text1"/>
                <w:sz w:val="24"/>
                <w:szCs w:val="24"/>
                <w:highlight w:val="none"/>
                <w14:textFill>
                  <w14:solidFill>
                    <w14:schemeClr w14:val="tx1"/>
                  </w14:solidFill>
                </w14:textFill>
              </w:rPr>
              <w:t>S</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m</w:t>
            </w:r>
            <w:r>
              <w:rPr>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）计算，</w:t>
            </w:r>
            <w:r>
              <w:rPr>
                <w:color w:val="000000" w:themeColor="text1"/>
                <w:sz w:val="24"/>
                <w:szCs w:val="24"/>
                <w:highlight w:val="none"/>
                <w14:textFill>
                  <w14:solidFill>
                    <w14:schemeClr w14:val="tx1"/>
                  </w14:solidFill>
                </w14:textFill>
              </w:rPr>
              <w:t>r=</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S/π</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vertAlign w:val="superscript"/>
                <w14:textFill>
                  <w14:solidFill>
                    <w14:schemeClr w14:val="tx1"/>
                  </w14:solidFill>
                </w14:textFill>
              </w:rPr>
              <w:t>0.5</w:t>
            </w:r>
            <w:r>
              <w:rPr>
                <w:rFonts w:hint="eastAsia"/>
                <w:color w:val="000000" w:themeColor="text1"/>
                <w:sz w:val="24"/>
                <w:szCs w:val="24"/>
                <w:highlight w:val="none"/>
                <w14:textFill>
                  <w14:solidFill>
                    <w14:schemeClr w14:val="tx1"/>
                  </w14:solidFill>
                </w14:textFill>
              </w:rPr>
              <w:t>；</w:t>
            </w:r>
          </w:p>
          <w:p w14:paraId="0744D853">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A</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B</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C</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D—</w:t>
            </w:r>
            <w:r>
              <w:rPr>
                <w:rFonts w:hint="eastAsia"/>
                <w:color w:val="000000" w:themeColor="text1"/>
                <w:sz w:val="24"/>
                <w:szCs w:val="24"/>
                <w:highlight w:val="none"/>
                <w14:textFill>
                  <w14:solidFill>
                    <w14:schemeClr w14:val="tx1"/>
                  </w14:solidFill>
                </w14:textFill>
              </w:rPr>
              <w:t>卫生防护距离计算系数，根据工业企业所在地区近五年平均风速</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2.5m/s</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及工业企业大气污染源构成类别从《</w:t>
            </w:r>
            <w:r>
              <w:rPr>
                <w:rFonts w:hint="eastAsia"/>
                <w:color w:val="000000" w:themeColor="text1"/>
                <w:sz w:val="24"/>
                <w:szCs w:val="24"/>
                <w:highlight w:val="none"/>
                <w:lang w:eastAsia="zh-CN"/>
                <w14:textFill>
                  <w14:solidFill>
                    <w14:schemeClr w14:val="tx1"/>
                  </w14:solidFill>
                </w14:textFill>
              </w:rPr>
              <w:t>制定地方大气污染物排放标准的技术方法</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GB/T3840-91</w:t>
            </w:r>
            <w:r>
              <w:rPr>
                <w:rFonts w:hint="eastAsia"/>
                <w:color w:val="000000" w:themeColor="text1"/>
                <w:sz w:val="24"/>
                <w:szCs w:val="24"/>
                <w:highlight w:val="none"/>
                <w14:textFill>
                  <w14:solidFill>
                    <w14:schemeClr w14:val="tx1"/>
                  </w14:solidFill>
                </w14:textFill>
              </w:rPr>
              <w:t>）查取，详见下表。</w:t>
            </w:r>
          </w:p>
          <w:p w14:paraId="3DD2B647">
            <w:pPr>
              <w:keepNext/>
              <w:adjustRightInd w:val="0"/>
              <w:snapToGrid w:val="0"/>
              <w:spacing w:beforeLines="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val="en-US" w:eastAsia="zh-CN"/>
                <w14:textFill>
                  <w14:solidFill>
                    <w14:schemeClr w14:val="tx1"/>
                  </w14:solidFill>
                </w14:textFill>
              </w:rPr>
              <w:t>8</w:t>
            </w:r>
            <w:r>
              <w:rPr>
                <w:rFonts w:hint="eastAsia"/>
                <w:b/>
                <w:bCs/>
                <w:color w:val="000000" w:themeColor="text1"/>
                <w:szCs w:val="21"/>
                <w:highlight w:val="none"/>
                <w14:textFill>
                  <w14:solidFill>
                    <w14:schemeClr w14:val="tx1"/>
                  </w14:solidFill>
                </w14:textFill>
              </w:rPr>
              <w:t xml:space="preserve">  卫生防护距离计算系数表</w:t>
            </w:r>
          </w:p>
          <w:tbl>
            <w:tblPr>
              <w:tblStyle w:val="35"/>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6"/>
              <w:gridCol w:w="1078"/>
              <w:gridCol w:w="555"/>
              <w:gridCol w:w="732"/>
              <w:gridCol w:w="732"/>
              <w:gridCol w:w="732"/>
              <w:gridCol w:w="732"/>
              <w:gridCol w:w="732"/>
              <w:gridCol w:w="732"/>
              <w:gridCol w:w="733"/>
              <w:gridCol w:w="740"/>
            </w:tblGrid>
            <w:tr w14:paraId="2DD67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vMerge w:val="restart"/>
                  <w:tcBorders>
                    <w:tl2br w:val="nil"/>
                    <w:tr2bl w:val="nil"/>
                  </w:tcBorders>
                  <w:shd w:val="clear" w:color="auto" w:fill="auto"/>
                  <w:vAlign w:val="center"/>
                </w:tcPr>
                <w:p w14:paraId="4FE62EBC">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计算</w:t>
                  </w:r>
                </w:p>
                <w:p w14:paraId="231F23EC">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系数</w:t>
                  </w:r>
                </w:p>
              </w:tc>
              <w:tc>
                <w:tcPr>
                  <w:tcW w:w="668" w:type="pct"/>
                  <w:vMerge w:val="restart"/>
                  <w:tcBorders>
                    <w:tl2br w:val="nil"/>
                    <w:tr2bl w:val="nil"/>
                  </w:tcBorders>
                  <w:shd w:val="clear" w:color="auto" w:fill="auto"/>
                  <w:vAlign w:val="center"/>
                </w:tcPr>
                <w:p w14:paraId="68E825ED">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工业企业所在地区近五年平均风速m/s</w:t>
                  </w:r>
                </w:p>
              </w:tc>
              <w:tc>
                <w:tcPr>
                  <w:tcW w:w="3980" w:type="pct"/>
                  <w:gridSpan w:val="9"/>
                  <w:tcBorders>
                    <w:tl2br w:val="nil"/>
                    <w:tr2bl w:val="nil"/>
                  </w:tcBorders>
                  <w:shd w:val="clear" w:color="auto" w:fill="auto"/>
                  <w:vAlign w:val="center"/>
                </w:tcPr>
                <w:p w14:paraId="0D96ED31">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卫生防护距离L,m</w:t>
                  </w:r>
                </w:p>
              </w:tc>
            </w:tr>
            <w:tr w14:paraId="33876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vMerge w:val="continue"/>
                  <w:tcBorders>
                    <w:tl2br w:val="nil"/>
                    <w:tr2bl w:val="nil"/>
                  </w:tcBorders>
                  <w:shd w:val="clear" w:color="auto" w:fill="auto"/>
                  <w:vAlign w:val="center"/>
                </w:tcPr>
                <w:p w14:paraId="4D979EE9">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668" w:type="pct"/>
                  <w:vMerge w:val="continue"/>
                  <w:tcBorders>
                    <w:tl2br w:val="nil"/>
                    <w:tr2bl w:val="nil"/>
                  </w:tcBorders>
                  <w:shd w:val="clear" w:color="auto" w:fill="auto"/>
                  <w:vAlign w:val="center"/>
                </w:tcPr>
                <w:p w14:paraId="2EAE1957">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1252" w:type="pct"/>
                  <w:gridSpan w:val="3"/>
                  <w:tcBorders>
                    <w:tl2br w:val="nil"/>
                    <w:tr2bl w:val="nil"/>
                  </w:tcBorders>
                  <w:shd w:val="clear" w:color="auto" w:fill="auto"/>
                  <w:vAlign w:val="center"/>
                </w:tcPr>
                <w:p w14:paraId="4743E679">
                  <w:pPr>
                    <w:spacing w:before="157" w:beforeLines="50" w:afterLines="0" w:line="36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L≤1000</w:t>
                  </w:r>
                </w:p>
              </w:tc>
              <w:tc>
                <w:tcPr>
                  <w:tcW w:w="1362" w:type="pct"/>
                  <w:gridSpan w:val="3"/>
                  <w:tcBorders>
                    <w:tl2br w:val="nil"/>
                    <w:tr2bl w:val="nil"/>
                  </w:tcBorders>
                  <w:shd w:val="clear" w:color="auto" w:fill="auto"/>
                  <w:vAlign w:val="center"/>
                </w:tcPr>
                <w:p w14:paraId="1EF530DC">
                  <w:pPr>
                    <w:spacing w:before="157" w:beforeLines="50" w:afterLines="0" w:line="36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1000＜L≤2000</w:t>
                  </w:r>
                </w:p>
              </w:tc>
              <w:tc>
                <w:tcPr>
                  <w:tcW w:w="1365" w:type="pct"/>
                  <w:gridSpan w:val="3"/>
                  <w:tcBorders>
                    <w:tl2br w:val="nil"/>
                    <w:tr2bl w:val="nil"/>
                  </w:tcBorders>
                  <w:shd w:val="clear" w:color="auto" w:fill="auto"/>
                  <w:vAlign w:val="center"/>
                </w:tcPr>
                <w:p w14:paraId="78DD6A56">
                  <w:pPr>
                    <w:spacing w:before="157" w:beforeLines="50" w:afterLines="0" w:line="360" w:lineRule="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L＞2000</w:t>
                  </w:r>
                </w:p>
              </w:tc>
            </w:tr>
            <w:tr w14:paraId="5EBB84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vMerge w:val="continue"/>
                  <w:tcBorders>
                    <w:tl2br w:val="nil"/>
                    <w:tr2bl w:val="nil"/>
                  </w:tcBorders>
                  <w:shd w:val="clear" w:color="auto" w:fill="auto"/>
                  <w:vAlign w:val="center"/>
                </w:tcPr>
                <w:p w14:paraId="0697A611">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668" w:type="pct"/>
                  <w:vMerge w:val="continue"/>
                  <w:tcBorders>
                    <w:tl2br w:val="nil"/>
                    <w:tr2bl w:val="nil"/>
                  </w:tcBorders>
                  <w:shd w:val="clear" w:color="auto" w:fill="auto"/>
                  <w:vAlign w:val="center"/>
                </w:tcPr>
                <w:p w14:paraId="61095EB0">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3980" w:type="pct"/>
                  <w:gridSpan w:val="9"/>
                  <w:tcBorders>
                    <w:tl2br w:val="nil"/>
                    <w:tr2bl w:val="nil"/>
                  </w:tcBorders>
                  <w:shd w:val="clear" w:color="auto" w:fill="auto"/>
                  <w:vAlign w:val="center"/>
                </w:tcPr>
                <w:p w14:paraId="75CF97BA">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工业企业大气污染源构成类别</w:t>
                  </w:r>
                </w:p>
              </w:tc>
            </w:tr>
            <w:tr w14:paraId="1DE8E6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vMerge w:val="continue"/>
                  <w:tcBorders>
                    <w:tl2br w:val="nil"/>
                    <w:tr2bl w:val="nil"/>
                  </w:tcBorders>
                  <w:shd w:val="clear" w:color="auto" w:fill="auto"/>
                  <w:vAlign w:val="center"/>
                </w:tcPr>
                <w:p w14:paraId="34138142">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668" w:type="pct"/>
                  <w:vMerge w:val="continue"/>
                  <w:tcBorders>
                    <w:tl2br w:val="nil"/>
                    <w:tr2bl w:val="nil"/>
                  </w:tcBorders>
                  <w:shd w:val="clear" w:color="auto" w:fill="auto"/>
                  <w:vAlign w:val="center"/>
                </w:tcPr>
                <w:p w14:paraId="787C3497">
                  <w:pPr>
                    <w:pStyle w:val="81"/>
                    <w:autoSpaceDE/>
                    <w:autoSpaceDN/>
                    <w:spacing w:before="157" w:beforeLines="50" w:afterLines="0" w:line="360" w:lineRule="auto"/>
                    <w:jc w:val="center"/>
                    <w:rPr>
                      <w:b/>
                      <w:bCs/>
                      <w:color w:val="000000" w:themeColor="text1"/>
                      <w:sz w:val="21"/>
                      <w:szCs w:val="21"/>
                      <w:highlight w:val="none"/>
                      <w14:textFill>
                        <w14:solidFill>
                          <w14:schemeClr w14:val="tx1"/>
                        </w14:solidFill>
                      </w14:textFill>
                    </w:rPr>
                  </w:pPr>
                </w:p>
              </w:tc>
              <w:tc>
                <w:tcPr>
                  <w:tcW w:w="344" w:type="pct"/>
                  <w:tcBorders>
                    <w:tl2br w:val="nil"/>
                    <w:tr2bl w:val="nil"/>
                  </w:tcBorders>
                  <w:shd w:val="clear" w:color="auto" w:fill="auto"/>
                  <w:vAlign w:val="center"/>
                </w:tcPr>
                <w:p w14:paraId="6B1E20F6">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Ⅰ</w:t>
                  </w:r>
                </w:p>
              </w:tc>
              <w:tc>
                <w:tcPr>
                  <w:tcW w:w="454" w:type="pct"/>
                  <w:tcBorders>
                    <w:tl2br w:val="nil"/>
                    <w:tr2bl w:val="nil"/>
                  </w:tcBorders>
                  <w:shd w:val="clear" w:color="auto" w:fill="auto"/>
                  <w:vAlign w:val="center"/>
                </w:tcPr>
                <w:p w14:paraId="25052099">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Ⅱ</w:t>
                  </w:r>
                </w:p>
              </w:tc>
              <w:tc>
                <w:tcPr>
                  <w:tcW w:w="454" w:type="pct"/>
                  <w:tcBorders>
                    <w:tl2br w:val="nil"/>
                    <w:tr2bl w:val="nil"/>
                  </w:tcBorders>
                  <w:shd w:val="clear" w:color="auto" w:fill="auto"/>
                  <w:vAlign w:val="center"/>
                </w:tcPr>
                <w:p w14:paraId="6838F83A">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Ⅲ</w:t>
                  </w:r>
                </w:p>
              </w:tc>
              <w:tc>
                <w:tcPr>
                  <w:tcW w:w="454" w:type="pct"/>
                  <w:tcBorders>
                    <w:tl2br w:val="nil"/>
                    <w:tr2bl w:val="nil"/>
                  </w:tcBorders>
                  <w:shd w:val="clear" w:color="auto" w:fill="auto"/>
                  <w:vAlign w:val="center"/>
                </w:tcPr>
                <w:p w14:paraId="6A5D23A0">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Ⅰ</w:t>
                  </w:r>
                </w:p>
              </w:tc>
              <w:tc>
                <w:tcPr>
                  <w:tcW w:w="454" w:type="pct"/>
                  <w:tcBorders>
                    <w:tl2br w:val="nil"/>
                    <w:tr2bl w:val="nil"/>
                  </w:tcBorders>
                  <w:shd w:val="clear" w:color="auto" w:fill="auto"/>
                  <w:vAlign w:val="center"/>
                </w:tcPr>
                <w:p w14:paraId="435326E3">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Ⅱ</w:t>
                  </w:r>
                </w:p>
              </w:tc>
              <w:tc>
                <w:tcPr>
                  <w:tcW w:w="454" w:type="pct"/>
                  <w:tcBorders>
                    <w:tl2br w:val="nil"/>
                    <w:tr2bl w:val="nil"/>
                  </w:tcBorders>
                  <w:shd w:val="clear" w:color="auto" w:fill="auto"/>
                  <w:vAlign w:val="center"/>
                </w:tcPr>
                <w:p w14:paraId="598882E6">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Ⅲ</w:t>
                  </w:r>
                </w:p>
              </w:tc>
              <w:tc>
                <w:tcPr>
                  <w:tcW w:w="454" w:type="pct"/>
                  <w:tcBorders>
                    <w:tl2br w:val="nil"/>
                    <w:tr2bl w:val="nil"/>
                  </w:tcBorders>
                  <w:shd w:val="clear" w:color="auto" w:fill="auto"/>
                  <w:vAlign w:val="center"/>
                </w:tcPr>
                <w:p w14:paraId="0BDCB810">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Ⅰ</w:t>
                  </w:r>
                </w:p>
              </w:tc>
              <w:tc>
                <w:tcPr>
                  <w:tcW w:w="454" w:type="pct"/>
                  <w:tcBorders>
                    <w:tl2br w:val="nil"/>
                    <w:tr2bl w:val="nil"/>
                  </w:tcBorders>
                  <w:shd w:val="clear" w:color="auto" w:fill="auto"/>
                  <w:vAlign w:val="center"/>
                </w:tcPr>
                <w:p w14:paraId="2A37C691">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Ⅱ</w:t>
                  </w:r>
                </w:p>
              </w:tc>
              <w:tc>
                <w:tcPr>
                  <w:tcW w:w="455" w:type="pct"/>
                  <w:tcBorders>
                    <w:tl2br w:val="nil"/>
                    <w:tr2bl w:val="nil"/>
                  </w:tcBorders>
                  <w:shd w:val="clear" w:color="auto" w:fill="auto"/>
                  <w:vAlign w:val="center"/>
                </w:tcPr>
                <w:p w14:paraId="074831D1">
                  <w:pPr>
                    <w:spacing w:before="157" w:beforeLines="5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Ⅲ</w:t>
                  </w:r>
                </w:p>
              </w:tc>
            </w:tr>
            <w:tr w14:paraId="08F3F8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tcBorders>
                    <w:tl2br w:val="nil"/>
                    <w:tr2bl w:val="nil"/>
                  </w:tcBorders>
                  <w:shd w:val="clear" w:color="auto" w:fill="auto"/>
                  <w:vAlign w:val="center"/>
                </w:tcPr>
                <w:p w14:paraId="5C614EAA">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A</w:t>
                  </w:r>
                </w:p>
              </w:tc>
              <w:tc>
                <w:tcPr>
                  <w:tcW w:w="668" w:type="pct"/>
                  <w:tcBorders>
                    <w:tl2br w:val="nil"/>
                    <w:tr2bl w:val="nil"/>
                  </w:tcBorders>
                  <w:shd w:val="clear" w:color="auto" w:fill="auto"/>
                  <w:vAlign w:val="center"/>
                </w:tcPr>
                <w:p w14:paraId="71F76FFB">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&lt;2</w:t>
                  </w:r>
                </w:p>
                <w:p w14:paraId="73501EC2">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2～4</w:t>
                  </w:r>
                </w:p>
                <w:p w14:paraId="2538DDF4">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&gt;4</w:t>
                  </w:r>
                </w:p>
              </w:tc>
              <w:tc>
                <w:tcPr>
                  <w:tcW w:w="344" w:type="pct"/>
                  <w:tcBorders>
                    <w:tl2br w:val="nil"/>
                    <w:tr2bl w:val="nil"/>
                  </w:tcBorders>
                  <w:shd w:val="clear" w:color="auto" w:fill="auto"/>
                  <w:vAlign w:val="center"/>
                </w:tcPr>
                <w:p w14:paraId="50F2DF2C">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139A8E5A">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700</w:t>
                  </w:r>
                </w:p>
                <w:p w14:paraId="164F3E88">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530</w:t>
                  </w:r>
                </w:p>
              </w:tc>
              <w:tc>
                <w:tcPr>
                  <w:tcW w:w="454" w:type="pct"/>
                  <w:tcBorders>
                    <w:tl2br w:val="nil"/>
                    <w:tr2bl w:val="nil"/>
                  </w:tcBorders>
                  <w:shd w:val="clear" w:color="auto" w:fill="auto"/>
                  <w:vAlign w:val="center"/>
                </w:tcPr>
                <w:p w14:paraId="43155CCE">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01A49F88">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470</w:t>
                  </w:r>
                </w:p>
                <w:p w14:paraId="3FCA318B">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350</w:t>
                  </w:r>
                </w:p>
              </w:tc>
              <w:tc>
                <w:tcPr>
                  <w:tcW w:w="454" w:type="pct"/>
                  <w:tcBorders>
                    <w:tl2br w:val="nil"/>
                    <w:tr2bl w:val="nil"/>
                  </w:tcBorders>
                  <w:shd w:val="clear" w:color="auto" w:fill="auto"/>
                  <w:vAlign w:val="center"/>
                </w:tcPr>
                <w:p w14:paraId="49F59850">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0981C612">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350</w:t>
                  </w:r>
                </w:p>
                <w:p w14:paraId="085AAFF1">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260</w:t>
                  </w:r>
                </w:p>
              </w:tc>
              <w:tc>
                <w:tcPr>
                  <w:tcW w:w="454" w:type="pct"/>
                  <w:tcBorders>
                    <w:tl2br w:val="nil"/>
                    <w:tr2bl w:val="nil"/>
                  </w:tcBorders>
                  <w:shd w:val="clear" w:color="auto" w:fill="auto"/>
                  <w:vAlign w:val="center"/>
                </w:tcPr>
                <w:p w14:paraId="75FEB2BC">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1D95F01E">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700</w:t>
                  </w:r>
                </w:p>
                <w:p w14:paraId="1B4F27BD">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530</w:t>
                  </w:r>
                </w:p>
              </w:tc>
              <w:tc>
                <w:tcPr>
                  <w:tcW w:w="454" w:type="pct"/>
                  <w:tcBorders>
                    <w:tl2br w:val="nil"/>
                    <w:tr2bl w:val="nil"/>
                  </w:tcBorders>
                  <w:shd w:val="clear" w:color="auto" w:fill="auto"/>
                  <w:vAlign w:val="center"/>
                </w:tcPr>
                <w:p w14:paraId="5063A8C4">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5CF56421">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470</w:t>
                  </w:r>
                </w:p>
                <w:p w14:paraId="67AC33DB">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350</w:t>
                  </w:r>
                </w:p>
              </w:tc>
              <w:tc>
                <w:tcPr>
                  <w:tcW w:w="454" w:type="pct"/>
                  <w:tcBorders>
                    <w:tl2br w:val="nil"/>
                    <w:tr2bl w:val="nil"/>
                  </w:tcBorders>
                  <w:shd w:val="clear" w:color="auto" w:fill="auto"/>
                  <w:vAlign w:val="center"/>
                </w:tcPr>
                <w:p w14:paraId="6F7EA7C4">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400</w:t>
                  </w:r>
                </w:p>
                <w:p w14:paraId="3CA56888">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350</w:t>
                  </w:r>
                </w:p>
                <w:p w14:paraId="0BB6297A">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260</w:t>
                  </w:r>
                </w:p>
              </w:tc>
              <w:tc>
                <w:tcPr>
                  <w:tcW w:w="454" w:type="pct"/>
                  <w:tcBorders>
                    <w:tl2br w:val="nil"/>
                    <w:tr2bl w:val="nil"/>
                  </w:tcBorders>
                  <w:shd w:val="clear" w:color="auto" w:fill="auto"/>
                  <w:vAlign w:val="center"/>
                </w:tcPr>
                <w:p w14:paraId="4AC8263D">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80</w:t>
                  </w:r>
                </w:p>
                <w:p w14:paraId="60F0A241">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380</w:t>
                  </w:r>
                </w:p>
                <w:p w14:paraId="5E341AE2">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290</w:t>
                  </w:r>
                </w:p>
              </w:tc>
              <w:tc>
                <w:tcPr>
                  <w:tcW w:w="454" w:type="pct"/>
                  <w:tcBorders>
                    <w:tl2br w:val="nil"/>
                    <w:tr2bl w:val="nil"/>
                  </w:tcBorders>
                  <w:shd w:val="clear" w:color="auto" w:fill="auto"/>
                  <w:vAlign w:val="center"/>
                </w:tcPr>
                <w:p w14:paraId="4765D4B4">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80</w:t>
                  </w:r>
                </w:p>
                <w:p w14:paraId="0DFE0B77">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250</w:t>
                  </w:r>
                </w:p>
                <w:p w14:paraId="2ED2D2C0">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190</w:t>
                  </w:r>
                </w:p>
              </w:tc>
              <w:tc>
                <w:tcPr>
                  <w:tcW w:w="455" w:type="pct"/>
                  <w:tcBorders>
                    <w:tl2br w:val="nil"/>
                    <w:tr2bl w:val="nil"/>
                  </w:tcBorders>
                  <w:shd w:val="clear" w:color="auto" w:fill="auto"/>
                  <w:vAlign w:val="center"/>
                </w:tcPr>
                <w:p w14:paraId="3B8F9638">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80</w:t>
                  </w:r>
                </w:p>
                <w:p w14:paraId="2D71A7CB">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190</w:t>
                  </w:r>
                </w:p>
                <w:p w14:paraId="223756EC">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140</w:t>
                  </w:r>
                </w:p>
              </w:tc>
            </w:tr>
            <w:tr w14:paraId="409B5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tcBorders>
                    <w:tl2br w:val="nil"/>
                    <w:tr2bl w:val="nil"/>
                  </w:tcBorders>
                  <w:shd w:val="clear" w:color="auto" w:fill="auto"/>
                  <w:vAlign w:val="center"/>
                </w:tcPr>
                <w:p w14:paraId="2C92DFB3">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B</w:t>
                  </w:r>
                </w:p>
              </w:tc>
              <w:tc>
                <w:tcPr>
                  <w:tcW w:w="668" w:type="pct"/>
                  <w:tcBorders>
                    <w:tl2br w:val="nil"/>
                    <w:tr2bl w:val="nil"/>
                  </w:tcBorders>
                  <w:shd w:val="clear" w:color="auto" w:fill="auto"/>
                  <w:vAlign w:val="center"/>
                </w:tcPr>
                <w:p w14:paraId="7B649A8E">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&lt;2</w:t>
                  </w:r>
                </w:p>
                <w:p w14:paraId="259AAC75">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&gt;2</w:t>
                  </w:r>
                </w:p>
              </w:tc>
              <w:tc>
                <w:tcPr>
                  <w:tcW w:w="1252" w:type="pct"/>
                  <w:gridSpan w:val="3"/>
                  <w:tcBorders>
                    <w:tl2br w:val="nil"/>
                    <w:tr2bl w:val="nil"/>
                  </w:tcBorders>
                  <w:shd w:val="clear" w:color="auto" w:fill="auto"/>
                  <w:vAlign w:val="center"/>
                </w:tcPr>
                <w:p w14:paraId="173E7A56">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0.01</w:t>
                  </w:r>
                </w:p>
                <w:p w14:paraId="3250D111">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0.021</w:t>
                  </w:r>
                </w:p>
              </w:tc>
              <w:tc>
                <w:tcPr>
                  <w:tcW w:w="1362" w:type="pct"/>
                  <w:gridSpan w:val="3"/>
                  <w:tcBorders>
                    <w:tl2br w:val="nil"/>
                    <w:tr2bl w:val="nil"/>
                  </w:tcBorders>
                  <w:shd w:val="clear" w:color="auto" w:fill="auto"/>
                  <w:vAlign w:val="center"/>
                </w:tcPr>
                <w:p w14:paraId="08865859">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0.015</w:t>
                  </w:r>
                </w:p>
                <w:p w14:paraId="3F8447F2">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0.036</w:t>
                  </w:r>
                </w:p>
              </w:tc>
              <w:tc>
                <w:tcPr>
                  <w:tcW w:w="1365" w:type="pct"/>
                  <w:gridSpan w:val="3"/>
                  <w:tcBorders>
                    <w:tl2br w:val="nil"/>
                    <w:tr2bl w:val="nil"/>
                  </w:tcBorders>
                  <w:shd w:val="clear" w:color="auto" w:fill="auto"/>
                  <w:vAlign w:val="center"/>
                </w:tcPr>
                <w:p w14:paraId="4B0A3E63">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0.015</w:t>
                  </w:r>
                </w:p>
                <w:p w14:paraId="7B5350F2">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0.036</w:t>
                  </w:r>
                </w:p>
              </w:tc>
            </w:tr>
            <w:tr w14:paraId="13BE3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tcBorders>
                    <w:tl2br w:val="nil"/>
                    <w:tr2bl w:val="nil"/>
                  </w:tcBorders>
                  <w:shd w:val="clear" w:color="auto" w:fill="auto"/>
                  <w:vAlign w:val="center"/>
                </w:tcPr>
                <w:p w14:paraId="0D6B752A">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w:t>
                  </w:r>
                </w:p>
              </w:tc>
              <w:tc>
                <w:tcPr>
                  <w:tcW w:w="668" w:type="pct"/>
                  <w:tcBorders>
                    <w:tl2br w:val="nil"/>
                    <w:tr2bl w:val="nil"/>
                  </w:tcBorders>
                  <w:shd w:val="clear" w:color="auto" w:fill="auto"/>
                  <w:vAlign w:val="center"/>
                </w:tcPr>
                <w:p w14:paraId="4CDBED5B">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&lt;2</w:t>
                  </w:r>
                </w:p>
                <w:p w14:paraId="5A53CF00">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&gt;2</w:t>
                  </w:r>
                </w:p>
              </w:tc>
              <w:tc>
                <w:tcPr>
                  <w:tcW w:w="1252" w:type="pct"/>
                  <w:gridSpan w:val="3"/>
                  <w:tcBorders>
                    <w:tl2br w:val="nil"/>
                    <w:tr2bl w:val="nil"/>
                  </w:tcBorders>
                  <w:shd w:val="clear" w:color="auto" w:fill="auto"/>
                  <w:vAlign w:val="center"/>
                </w:tcPr>
                <w:p w14:paraId="3CB16832">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1.85</w:t>
                  </w:r>
                </w:p>
                <w:p w14:paraId="6BA42DBA">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1.85</w:t>
                  </w:r>
                </w:p>
              </w:tc>
              <w:tc>
                <w:tcPr>
                  <w:tcW w:w="1362" w:type="pct"/>
                  <w:gridSpan w:val="3"/>
                  <w:tcBorders>
                    <w:tl2br w:val="nil"/>
                    <w:tr2bl w:val="nil"/>
                  </w:tcBorders>
                  <w:shd w:val="clear" w:color="auto" w:fill="auto"/>
                  <w:vAlign w:val="center"/>
                </w:tcPr>
                <w:p w14:paraId="56E6F02E">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1.79</w:t>
                  </w:r>
                </w:p>
                <w:p w14:paraId="1799F337">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1.77</w:t>
                  </w:r>
                </w:p>
              </w:tc>
              <w:tc>
                <w:tcPr>
                  <w:tcW w:w="1365" w:type="pct"/>
                  <w:gridSpan w:val="3"/>
                  <w:tcBorders>
                    <w:tl2br w:val="nil"/>
                    <w:tr2bl w:val="nil"/>
                  </w:tcBorders>
                  <w:shd w:val="clear" w:color="auto" w:fill="auto"/>
                  <w:vAlign w:val="center"/>
                </w:tcPr>
                <w:p w14:paraId="760B3AFB">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1.79</w:t>
                  </w:r>
                </w:p>
                <w:p w14:paraId="5FFA6B85">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1.77</w:t>
                  </w:r>
                </w:p>
              </w:tc>
            </w:tr>
            <w:tr w14:paraId="54679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tcBorders>
                    <w:tl2br w:val="nil"/>
                    <w:tr2bl w:val="nil"/>
                  </w:tcBorders>
                  <w:shd w:val="clear" w:color="auto" w:fill="auto"/>
                  <w:vAlign w:val="center"/>
                </w:tcPr>
                <w:p w14:paraId="6527E5DF">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w:t>
                  </w:r>
                </w:p>
              </w:tc>
              <w:tc>
                <w:tcPr>
                  <w:tcW w:w="668" w:type="pct"/>
                  <w:tcBorders>
                    <w:tl2br w:val="nil"/>
                    <w:tr2bl w:val="nil"/>
                  </w:tcBorders>
                  <w:shd w:val="clear" w:color="auto" w:fill="auto"/>
                  <w:vAlign w:val="center"/>
                </w:tcPr>
                <w:p w14:paraId="6326DADC">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&lt;2</w:t>
                  </w:r>
                </w:p>
                <w:p w14:paraId="34C9F524">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&gt;2</w:t>
                  </w:r>
                </w:p>
              </w:tc>
              <w:tc>
                <w:tcPr>
                  <w:tcW w:w="1252" w:type="pct"/>
                  <w:gridSpan w:val="3"/>
                  <w:tcBorders>
                    <w:tl2br w:val="nil"/>
                    <w:tr2bl w:val="nil"/>
                  </w:tcBorders>
                  <w:shd w:val="clear" w:color="auto" w:fill="auto"/>
                  <w:vAlign w:val="center"/>
                </w:tcPr>
                <w:p w14:paraId="402F5A9A">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0.78</w:t>
                  </w:r>
                </w:p>
                <w:p w14:paraId="1102EBB4">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0.84</w:t>
                  </w:r>
                </w:p>
              </w:tc>
              <w:tc>
                <w:tcPr>
                  <w:tcW w:w="1362" w:type="pct"/>
                  <w:gridSpan w:val="3"/>
                  <w:tcBorders>
                    <w:tl2br w:val="nil"/>
                    <w:tr2bl w:val="nil"/>
                  </w:tcBorders>
                  <w:shd w:val="clear" w:color="auto" w:fill="auto"/>
                  <w:vAlign w:val="center"/>
                </w:tcPr>
                <w:p w14:paraId="3C91A342">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0.78</w:t>
                  </w:r>
                </w:p>
                <w:p w14:paraId="15ED665E">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0.84</w:t>
                  </w:r>
                </w:p>
              </w:tc>
              <w:tc>
                <w:tcPr>
                  <w:tcW w:w="1365" w:type="pct"/>
                  <w:gridSpan w:val="3"/>
                  <w:tcBorders>
                    <w:tl2br w:val="nil"/>
                    <w:tr2bl w:val="nil"/>
                  </w:tcBorders>
                  <w:shd w:val="clear" w:color="auto" w:fill="auto"/>
                  <w:vAlign w:val="center"/>
                </w:tcPr>
                <w:p w14:paraId="31DCAAD0">
                  <w:pPr>
                    <w:spacing w:before="157" w:beforeLines="50" w:afterLines="0"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0.57</w:t>
                  </w:r>
                </w:p>
                <w:p w14:paraId="7782D423">
                  <w:pPr>
                    <w:spacing w:before="157" w:beforeLines="50" w:afterLines="0" w:line="360" w:lineRule="auto"/>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0.76</w:t>
                  </w:r>
                </w:p>
              </w:tc>
            </w:tr>
          </w:tbl>
          <w:p w14:paraId="0F52094E">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根据上表，公式中A、B、C、D的计算参数按甘孜县的气象条件选取如下：A=350， B=0.021，C=1.85，D=0.84。</w:t>
            </w:r>
          </w:p>
          <w:p w14:paraId="4DD36CA2">
            <w:pPr>
              <w:pStyle w:val="74"/>
              <w:adjustRightInd w:val="0"/>
              <w:snapToGrid w:val="0"/>
              <w:spacing w:before="0" w:beforeAutospacing="0" w:after="0" w:afterAutospacing="0" w:line="360" w:lineRule="auto"/>
              <w:ind w:firstLine="48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项目卫生防护距离计算结果见下表。</w:t>
            </w:r>
          </w:p>
          <w:p w14:paraId="3F696C70">
            <w:pPr>
              <w:keepNext/>
              <w:adjustRightInd w:val="0"/>
              <w:snapToGrid w:val="0"/>
              <w:spacing w:beforeLines="0" w:afterLines="0" w:line="360"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eastAsia="zh-CN"/>
                <w14:textFill>
                  <w14:solidFill>
                    <w14:schemeClr w14:val="tx1"/>
                  </w14:solidFill>
                </w14:textFill>
              </w:rPr>
              <w:t>9</w:t>
            </w:r>
            <w:r>
              <w:rPr>
                <w:rFonts w:hint="eastAsia"/>
                <w:b/>
                <w:bCs/>
                <w:color w:val="000000" w:themeColor="text1"/>
                <w:szCs w:val="21"/>
                <w:highlight w:val="none"/>
                <w:lang w:val="en-US" w:eastAsia="zh-CN"/>
                <w14:textFill>
                  <w14:solidFill>
                    <w14:schemeClr w14:val="tx1"/>
                  </w14:solidFill>
                </w14:textFill>
              </w:rPr>
              <w:t xml:space="preserve"> </w:t>
            </w:r>
            <w:r>
              <w:rPr>
                <w:rFonts w:hint="eastAsia"/>
                <w:b/>
                <w:bCs/>
                <w:color w:val="000000" w:themeColor="text1"/>
                <w:szCs w:val="21"/>
                <w:highlight w:val="none"/>
                <w14:textFill>
                  <w14:solidFill>
                    <w14:schemeClr w14:val="tx1"/>
                  </w14:solidFill>
                </w14:textFill>
              </w:rPr>
              <w:t xml:space="preserve">  项目无组织废气排放源强及卫生防护距离表</w:t>
            </w:r>
          </w:p>
          <w:tbl>
            <w:tblPr>
              <w:tblStyle w:val="35"/>
              <w:tblW w:w="8066"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5"/>
              <w:gridCol w:w="802"/>
              <w:gridCol w:w="1061"/>
              <w:gridCol w:w="1114"/>
              <w:gridCol w:w="1044"/>
              <w:gridCol w:w="1248"/>
              <w:gridCol w:w="991"/>
              <w:gridCol w:w="991"/>
            </w:tblGrid>
            <w:tr w14:paraId="638777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6" w:hRule="atLeast"/>
              </w:trPr>
              <w:tc>
                <w:tcPr>
                  <w:tcW w:w="815" w:type="dxa"/>
                  <w:tcBorders>
                    <w:tl2br w:val="nil"/>
                    <w:tr2bl w:val="nil"/>
                  </w:tcBorders>
                  <w:shd w:val="clear" w:color="auto" w:fill="auto"/>
                  <w:vAlign w:val="center"/>
                </w:tcPr>
                <w:p w14:paraId="6B62E09E">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污染源</w:t>
                  </w:r>
                </w:p>
              </w:tc>
              <w:tc>
                <w:tcPr>
                  <w:tcW w:w="802" w:type="dxa"/>
                  <w:tcBorders>
                    <w:tl2br w:val="nil"/>
                    <w:tr2bl w:val="nil"/>
                  </w:tcBorders>
                  <w:shd w:val="clear" w:color="auto" w:fill="auto"/>
                  <w:vAlign w:val="center"/>
                </w:tcPr>
                <w:p w14:paraId="05A0EEE5">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污染</w:t>
                  </w:r>
                </w:p>
                <w:p w14:paraId="2E3C4528">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因子</w:t>
                  </w:r>
                </w:p>
              </w:tc>
              <w:tc>
                <w:tcPr>
                  <w:tcW w:w="1033" w:type="dxa"/>
                  <w:tcBorders>
                    <w:tl2br w:val="nil"/>
                    <w:tr2bl w:val="nil"/>
                  </w:tcBorders>
                  <w:shd w:val="clear" w:color="auto" w:fill="auto"/>
                  <w:vAlign w:val="center"/>
                </w:tcPr>
                <w:p w14:paraId="793DD4A2">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无组织排放量（kg/h）</w:t>
                  </w:r>
                </w:p>
              </w:tc>
              <w:tc>
                <w:tcPr>
                  <w:tcW w:w="0" w:type="auto"/>
                  <w:tcBorders>
                    <w:tl2br w:val="nil"/>
                    <w:tr2bl w:val="nil"/>
                  </w:tcBorders>
                  <w:shd w:val="clear" w:color="auto" w:fill="auto"/>
                  <w:vAlign w:val="center"/>
                </w:tcPr>
                <w:p w14:paraId="522F34EF">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标准限值</w:t>
                  </w:r>
                </w:p>
                <w:p w14:paraId="6708E339">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（mg/m</w:t>
                  </w:r>
                  <w:r>
                    <w:rPr>
                      <w:rFonts w:hint="eastAsia" w:ascii="宋体" w:hAnsi="宋体" w:cs="宋体"/>
                      <w:b/>
                      <w:bCs/>
                      <w:color w:val="000000" w:themeColor="text1"/>
                      <w:szCs w:val="21"/>
                      <w:highlight w:val="none"/>
                      <w:vertAlign w:val="superscript"/>
                      <w14:textFill>
                        <w14:solidFill>
                          <w14:schemeClr w14:val="tx1"/>
                        </w14:solidFill>
                      </w14:textFill>
                    </w:rPr>
                    <w:t>3</w:t>
                  </w:r>
                  <w:r>
                    <w:rPr>
                      <w:rFonts w:hint="eastAsia" w:ascii="宋体" w:hAnsi="宋体" w:cs="宋体"/>
                      <w:b/>
                      <w:bCs/>
                      <w:color w:val="000000" w:themeColor="text1"/>
                      <w:szCs w:val="21"/>
                      <w:highlight w:val="none"/>
                      <w14:textFill>
                        <w14:solidFill>
                          <w14:schemeClr w14:val="tx1"/>
                        </w14:solidFill>
                      </w14:textFill>
                    </w:rPr>
                    <w:t>）</w:t>
                  </w:r>
                </w:p>
              </w:tc>
              <w:tc>
                <w:tcPr>
                  <w:tcW w:w="0" w:type="auto"/>
                  <w:tcBorders>
                    <w:tl2br w:val="nil"/>
                    <w:tr2bl w:val="nil"/>
                  </w:tcBorders>
                  <w:shd w:val="clear" w:color="auto" w:fill="auto"/>
                  <w:vAlign w:val="center"/>
                </w:tcPr>
                <w:p w14:paraId="03E9ED83">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面源面积（m</w:t>
                  </w:r>
                  <w:r>
                    <w:rPr>
                      <w:rFonts w:hint="eastAsia" w:ascii="宋体" w:hAnsi="宋体" w:cs="宋体"/>
                      <w:b/>
                      <w:bCs/>
                      <w:color w:val="000000" w:themeColor="text1"/>
                      <w:szCs w:val="21"/>
                      <w:highlight w:val="none"/>
                      <w:vertAlign w:val="superscript"/>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w:t>
                  </w:r>
                </w:p>
              </w:tc>
              <w:tc>
                <w:tcPr>
                  <w:tcW w:w="0" w:type="auto"/>
                  <w:tcBorders>
                    <w:tl2br w:val="nil"/>
                    <w:tr2bl w:val="nil"/>
                  </w:tcBorders>
                  <w:shd w:val="clear" w:color="auto" w:fill="auto"/>
                  <w:vAlign w:val="center"/>
                </w:tcPr>
                <w:p w14:paraId="3C6259BD">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防护距离计算值（m）</w:t>
                  </w:r>
                </w:p>
              </w:tc>
              <w:tc>
                <w:tcPr>
                  <w:tcW w:w="0" w:type="auto"/>
                  <w:tcBorders>
                    <w:tl2br w:val="nil"/>
                    <w:tr2bl w:val="nil"/>
                  </w:tcBorders>
                  <w:shd w:val="clear" w:color="auto" w:fill="auto"/>
                  <w:vAlign w:val="center"/>
                </w:tcPr>
                <w:p w14:paraId="316BD625">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防护距离（m）</w:t>
                  </w:r>
                </w:p>
              </w:tc>
              <w:tc>
                <w:tcPr>
                  <w:tcW w:w="0" w:type="auto"/>
                  <w:tcBorders>
                    <w:tl2br w:val="nil"/>
                    <w:tr2bl w:val="nil"/>
                  </w:tcBorders>
                  <w:shd w:val="clear" w:color="auto" w:fill="auto"/>
                  <w:vAlign w:val="center"/>
                </w:tcPr>
                <w:p w14:paraId="2DC0AC5A">
                  <w:pPr>
                    <w:spacing w:beforeLines="0" w:afterLines="0" w:line="24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最终距离（m）</w:t>
                  </w:r>
                </w:p>
              </w:tc>
            </w:tr>
            <w:tr w14:paraId="19CD1B3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 w:hRule="atLeast"/>
              </w:trPr>
              <w:tc>
                <w:tcPr>
                  <w:tcW w:w="815" w:type="dxa"/>
                  <w:tcBorders>
                    <w:tl2br w:val="nil"/>
                    <w:tr2bl w:val="nil"/>
                  </w:tcBorders>
                  <w:shd w:val="clear" w:color="auto" w:fill="auto"/>
                  <w:vAlign w:val="center"/>
                </w:tcPr>
                <w:p w14:paraId="3CB1454C">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砂堆场</w:t>
                  </w:r>
                </w:p>
              </w:tc>
              <w:tc>
                <w:tcPr>
                  <w:tcW w:w="802" w:type="dxa"/>
                  <w:tcBorders>
                    <w:tl2br w:val="nil"/>
                    <w:tr2bl w:val="nil"/>
                  </w:tcBorders>
                  <w:shd w:val="clear" w:color="auto" w:fill="auto"/>
                  <w:vAlign w:val="center"/>
                </w:tcPr>
                <w:p w14:paraId="2D118106">
                  <w:pPr>
                    <w:spacing w:beforeLines="0" w:afterLines="0"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TSP</w:t>
                  </w:r>
                </w:p>
              </w:tc>
              <w:tc>
                <w:tcPr>
                  <w:tcW w:w="1033" w:type="dxa"/>
                  <w:tcBorders>
                    <w:tl2br w:val="nil"/>
                    <w:tr2bl w:val="nil"/>
                  </w:tcBorders>
                  <w:shd w:val="clear" w:color="auto" w:fill="auto"/>
                  <w:vAlign w:val="center"/>
                </w:tcPr>
                <w:p w14:paraId="2498F497">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0.0026</w:t>
                  </w:r>
                </w:p>
              </w:tc>
              <w:tc>
                <w:tcPr>
                  <w:tcW w:w="0" w:type="auto"/>
                  <w:tcBorders>
                    <w:tl2br w:val="nil"/>
                    <w:tr2bl w:val="nil"/>
                  </w:tcBorders>
                  <w:shd w:val="clear" w:color="auto" w:fill="auto"/>
                  <w:vAlign w:val="center"/>
                </w:tcPr>
                <w:p w14:paraId="3DD9B86E">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0.9</w:t>
                  </w:r>
                </w:p>
              </w:tc>
              <w:tc>
                <w:tcPr>
                  <w:tcW w:w="0" w:type="auto"/>
                  <w:tcBorders>
                    <w:tl2br w:val="nil"/>
                    <w:tr2bl w:val="nil"/>
                  </w:tcBorders>
                  <w:shd w:val="clear" w:color="auto" w:fill="auto"/>
                  <w:vAlign w:val="center"/>
                </w:tcPr>
                <w:p w14:paraId="737B2CDF">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8</w:t>
                  </w:r>
                  <w:r>
                    <w:rPr>
                      <w:rFonts w:hint="eastAsia" w:ascii="宋体" w:hAnsi="宋体" w:cs="宋体"/>
                      <w:color w:val="000000" w:themeColor="text1"/>
                      <w:szCs w:val="21"/>
                      <w:highlight w:val="none"/>
                      <w:lang w:val="en-US" w:eastAsia="zh-CN"/>
                      <w14:textFill>
                        <w14:solidFill>
                          <w14:schemeClr w14:val="tx1"/>
                        </w14:solidFill>
                      </w14:textFill>
                    </w:rPr>
                    <w:t>00</w:t>
                  </w:r>
                </w:p>
              </w:tc>
              <w:tc>
                <w:tcPr>
                  <w:tcW w:w="0" w:type="auto"/>
                  <w:tcBorders>
                    <w:tl2br w:val="nil"/>
                    <w:tr2bl w:val="nil"/>
                  </w:tcBorders>
                  <w:shd w:val="clear" w:color="auto" w:fill="auto"/>
                  <w:vAlign w:val="center"/>
                </w:tcPr>
                <w:p w14:paraId="05EC2D77">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0.195</w:t>
                  </w:r>
                </w:p>
              </w:tc>
              <w:tc>
                <w:tcPr>
                  <w:tcW w:w="0" w:type="auto"/>
                  <w:tcBorders>
                    <w:tl2br w:val="nil"/>
                    <w:tr2bl w:val="nil"/>
                  </w:tcBorders>
                  <w:shd w:val="clear" w:color="auto" w:fill="auto"/>
                  <w:vAlign w:val="center"/>
                </w:tcPr>
                <w:p w14:paraId="6C36B58C">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0</w:t>
                  </w:r>
                </w:p>
              </w:tc>
              <w:tc>
                <w:tcPr>
                  <w:tcW w:w="0" w:type="auto"/>
                  <w:vMerge w:val="restart"/>
                  <w:tcBorders>
                    <w:tl2br w:val="nil"/>
                    <w:tr2bl w:val="nil"/>
                  </w:tcBorders>
                  <w:shd w:val="clear" w:color="auto" w:fill="auto"/>
                  <w:vAlign w:val="center"/>
                </w:tcPr>
                <w:p w14:paraId="76937ED3">
                  <w:pPr>
                    <w:spacing w:beforeLines="0" w:afterLines="0" w:line="240" w:lineRule="auto"/>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0</w:t>
                  </w:r>
                </w:p>
              </w:tc>
            </w:tr>
            <w:tr w14:paraId="1C49558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 w:hRule="atLeast"/>
              </w:trPr>
              <w:tc>
                <w:tcPr>
                  <w:tcW w:w="815" w:type="dxa"/>
                  <w:tcBorders>
                    <w:tl2br w:val="nil"/>
                    <w:tr2bl w:val="nil"/>
                  </w:tcBorders>
                  <w:shd w:val="clear" w:color="auto" w:fill="auto"/>
                  <w:vAlign w:val="center"/>
                </w:tcPr>
                <w:p w14:paraId="6F785367">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碎石堆场</w:t>
                  </w:r>
                </w:p>
              </w:tc>
              <w:tc>
                <w:tcPr>
                  <w:tcW w:w="802" w:type="dxa"/>
                  <w:tcBorders>
                    <w:tl2br w:val="nil"/>
                    <w:tr2bl w:val="nil"/>
                  </w:tcBorders>
                  <w:shd w:val="clear" w:color="auto" w:fill="auto"/>
                  <w:vAlign w:val="center"/>
                </w:tcPr>
                <w:p w14:paraId="4B423CC3">
                  <w:pPr>
                    <w:spacing w:beforeLines="0" w:afterLines="0" w:line="240" w:lineRule="auto"/>
                    <w:jc w:val="center"/>
                    <w:rPr>
                      <w:rFonts w:hint="eastAsia"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TSP</w:t>
                  </w:r>
                </w:p>
              </w:tc>
              <w:tc>
                <w:tcPr>
                  <w:tcW w:w="1033" w:type="dxa"/>
                  <w:tcBorders>
                    <w:tl2br w:val="nil"/>
                    <w:tr2bl w:val="nil"/>
                  </w:tcBorders>
                  <w:shd w:val="clear" w:color="auto" w:fill="auto"/>
                  <w:vAlign w:val="center"/>
                </w:tcPr>
                <w:p w14:paraId="05CD4BA5">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0.0424</w:t>
                  </w:r>
                </w:p>
              </w:tc>
              <w:tc>
                <w:tcPr>
                  <w:tcW w:w="0" w:type="auto"/>
                  <w:tcBorders>
                    <w:tl2br w:val="nil"/>
                    <w:tr2bl w:val="nil"/>
                  </w:tcBorders>
                  <w:shd w:val="clear" w:color="auto" w:fill="auto"/>
                  <w:vAlign w:val="center"/>
                </w:tcPr>
                <w:p w14:paraId="1E1A2709">
                  <w:pPr>
                    <w:spacing w:beforeLines="0" w:afterLines="0" w:line="240" w:lineRule="auto"/>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0.9</w:t>
                  </w:r>
                </w:p>
              </w:tc>
              <w:tc>
                <w:tcPr>
                  <w:tcW w:w="0" w:type="auto"/>
                  <w:tcBorders>
                    <w:tl2br w:val="nil"/>
                    <w:tr2bl w:val="nil"/>
                  </w:tcBorders>
                  <w:shd w:val="clear" w:color="auto" w:fill="auto"/>
                  <w:vAlign w:val="center"/>
                </w:tcPr>
                <w:p w14:paraId="7DF972F5">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1300</w:t>
                  </w:r>
                </w:p>
              </w:tc>
              <w:tc>
                <w:tcPr>
                  <w:tcW w:w="0" w:type="auto"/>
                  <w:tcBorders>
                    <w:tl2br w:val="nil"/>
                    <w:tr2bl w:val="nil"/>
                  </w:tcBorders>
                  <w:shd w:val="clear" w:color="auto" w:fill="auto"/>
                  <w:vAlign w:val="center"/>
                </w:tcPr>
                <w:p w14:paraId="0BB9B560">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4.050</w:t>
                  </w:r>
                </w:p>
              </w:tc>
              <w:tc>
                <w:tcPr>
                  <w:tcW w:w="0" w:type="auto"/>
                  <w:tcBorders>
                    <w:tl2br w:val="nil"/>
                    <w:tr2bl w:val="nil"/>
                  </w:tcBorders>
                  <w:shd w:val="clear" w:color="auto" w:fill="auto"/>
                  <w:vAlign w:val="center"/>
                </w:tcPr>
                <w:p w14:paraId="516937BB">
                  <w:pPr>
                    <w:spacing w:beforeLines="0" w:afterLines="0"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0" w:type="auto"/>
                  <w:vMerge w:val="continue"/>
                  <w:tcBorders>
                    <w:tl2br w:val="nil"/>
                    <w:tr2bl w:val="nil"/>
                  </w:tcBorders>
                  <w:shd w:val="clear" w:color="auto" w:fill="auto"/>
                  <w:vAlign w:val="center"/>
                </w:tcPr>
                <w:p w14:paraId="25C82AD7">
                  <w:pPr>
                    <w:spacing w:beforeLines="0" w:afterLines="0" w:line="240" w:lineRule="auto"/>
                    <w:jc w:val="center"/>
                    <w:rPr>
                      <w:rFonts w:hint="eastAsia" w:ascii="宋体" w:hAnsi="宋体" w:cs="宋体"/>
                      <w:color w:val="000000" w:themeColor="text1"/>
                      <w:szCs w:val="21"/>
                      <w:highlight w:val="none"/>
                      <w14:textFill>
                        <w14:solidFill>
                          <w14:schemeClr w14:val="tx1"/>
                        </w14:solidFill>
                      </w14:textFill>
                    </w:rPr>
                  </w:pPr>
                </w:p>
              </w:tc>
            </w:tr>
            <w:tr w14:paraId="5ABE0D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 w:hRule="atLeast"/>
              </w:trPr>
              <w:tc>
                <w:tcPr>
                  <w:tcW w:w="815" w:type="dxa"/>
                  <w:tcBorders>
                    <w:tl2br w:val="nil"/>
                    <w:tr2bl w:val="nil"/>
                  </w:tcBorders>
                  <w:shd w:val="clear" w:color="auto" w:fill="auto"/>
                  <w:vAlign w:val="center"/>
                </w:tcPr>
                <w:p w14:paraId="42DAC23C">
                  <w:pPr>
                    <w:spacing w:beforeLines="0" w:afterLines="0"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加工车间</w:t>
                  </w:r>
                </w:p>
              </w:tc>
              <w:tc>
                <w:tcPr>
                  <w:tcW w:w="802" w:type="dxa"/>
                  <w:tcBorders>
                    <w:tl2br w:val="nil"/>
                    <w:tr2bl w:val="nil"/>
                  </w:tcBorders>
                  <w:shd w:val="clear" w:color="auto" w:fill="auto"/>
                  <w:vAlign w:val="center"/>
                </w:tcPr>
                <w:p w14:paraId="2375A877">
                  <w:pPr>
                    <w:spacing w:beforeLines="0" w:afterLines="0" w:line="240" w:lineRule="auto"/>
                    <w:jc w:val="center"/>
                    <w:rPr>
                      <w:rFonts w:hint="eastAsia"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TSP</w:t>
                  </w:r>
                </w:p>
              </w:tc>
              <w:tc>
                <w:tcPr>
                  <w:tcW w:w="1033" w:type="dxa"/>
                  <w:tcBorders>
                    <w:tl2br w:val="nil"/>
                    <w:tr2bl w:val="nil"/>
                  </w:tcBorders>
                  <w:shd w:val="clear" w:color="auto" w:fill="auto"/>
                  <w:vAlign w:val="center"/>
                </w:tcPr>
                <w:p w14:paraId="2C310F4D">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0.1734</w:t>
                  </w:r>
                </w:p>
              </w:tc>
              <w:tc>
                <w:tcPr>
                  <w:tcW w:w="0" w:type="auto"/>
                  <w:tcBorders>
                    <w:tl2br w:val="nil"/>
                    <w:tr2bl w:val="nil"/>
                  </w:tcBorders>
                  <w:shd w:val="clear" w:color="auto" w:fill="auto"/>
                  <w:vAlign w:val="center"/>
                </w:tcPr>
                <w:p w14:paraId="773EA723">
                  <w:pPr>
                    <w:spacing w:beforeLines="0" w:afterLines="0" w:line="240" w:lineRule="auto"/>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0.9</w:t>
                  </w:r>
                </w:p>
              </w:tc>
              <w:tc>
                <w:tcPr>
                  <w:tcW w:w="0" w:type="auto"/>
                  <w:tcBorders>
                    <w:tl2br w:val="nil"/>
                    <w:tr2bl w:val="nil"/>
                  </w:tcBorders>
                  <w:shd w:val="clear" w:color="auto" w:fill="auto"/>
                  <w:vAlign w:val="center"/>
                </w:tcPr>
                <w:p w14:paraId="43C8B595">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500</w:t>
                  </w:r>
                </w:p>
              </w:tc>
              <w:tc>
                <w:tcPr>
                  <w:tcW w:w="0" w:type="auto"/>
                  <w:tcBorders>
                    <w:tl2br w:val="nil"/>
                    <w:tr2bl w:val="nil"/>
                  </w:tcBorders>
                  <w:shd w:val="clear" w:color="auto" w:fill="auto"/>
                  <w:vAlign w:val="center"/>
                </w:tcPr>
                <w:p w14:paraId="6CC24FB3">
                  <w:pPr>
                    <w:spacing w:beforeLines="0" w:afterLines="0"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32.360</w:t>
                  </w:r>
                </w:p>
              </w:tc>
              <w:tc>
                <w:tcPr>
                  <w:tcW w:w="0" w:type="auto"/>
                  <w:tcBorders>
                    <w:tl2br w:val="nil"/>
                    <w:tr2bl w:val="nil"/>
                  </w:tcBorders>
                  <w:shd w:val="clear" w:color="auto" w:fill="auto"/>
                  <w:vAlign w:val="center"/>
                </w:tcPr>
                <w:p w14:paraId="48CDF434">
                  <w:pPr>
                    <w:spacing w:beforeLines="0" w:afterLines="0"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0" w:type="auto"/>
                  <w:vMerge w:val="continue"/>
                  <w:tcBorders>
                    <w:tl2br w:val="nil"/>
                    <w:tr2bl w:val="nil"/>
                  </w:tcBorders>
                  <w:shd w:val="clear" w:color="auto" w:fill="auto"/>
                  <w:vAlign w:val="center"/>
                </w:tcPr>
                <w:p w14:paraId="07C95EBC">
                  <w:pPr>
                    <w:spacing w:beforeLines="0" w:afterLines="0" w:line="240" w:lineRule="auto"/>
                    <w:jc w:val="center"/>
                    <w:rPr>
                      <w:rFonts w:hint="eastAsia" w:ascii="宋体" w:hAnsi="宋体" w:cs="宋体"/>
                      <w:color w:val="000000" w:themeColor="text1"/>
                      <w:szCs w:val="21"/>
                      <w:highlight w:val="none"/>
                      <w14:textFill>
                        <w14:solidFill>
                          <w14:schemeClr w14:val="tx1"/>
                        </w14:solidFill>
                      </w14:textFill>
                    </w:rPr>
                  </w:pPr>
                </w:p>
              </w:tc>
            </w:tr>
          </w:tbl>
          <w:p w14:paraId="114E6695">
            <w:pPr>
              <w:widowControl/>
              <w:adjustRightInd w:val="0"/>
              <w:spacing w:beforeLines="0" w:afterLines="0" w:line="360" w:lineRule="auto"/>
              <w:ind w:firstLine="482"/>
              <w:contextualSpacing/>
              <w:rPr>
                <w:rFonts w:cs="宋体"/>
                <w:bCs/>
                <w:color w:val="000000" w:themeColor="text1"/>
                <w:kern w:val="0"/>
                <w:sz w:val="24"/>
                <w:szCs w:val="24"/>
                <w:highlight w:val="none"/>
                <w:u w:val="single"/>
                <w14:textFill>
                  <w14:solidFill>
                    <w14:schemeClr w14:val="tx1"/>
                  </w14:solidFill>
                </w14:textFill>
              </w:rPr>
            </w:pPr>
            <w:r>
              <w:rPr>
                <w:rFonts w:hint="eastAsia" w:cs="宋体"/>
                <w:bCs/>
                <w:color w:val="000000" w:themeColor="text1"/>
                <w:kern w:val="0"/>
                <w:sz w:val="24"/>
                <w:szCs w:val="24"/>
                <w:highlight w:val="none"/>
                <w:u w:val="single"/>
                <w14:textFill>
                  <w14:solidFill>
                    <w14:schemeClr w14:val="tx1"/>
                  </w14:solidFill>
                </w14:textFill>
              </w:rPr>
              <w:t>因此，本项目以生产区边界为起点，设置</w:t>
            </w:r>
            <w:r>
              <w:rPr>
                <w:rFonts w:hint="eastAsia" w:cs="宋体"/>
                <w:bCs/>
                <w:color w:val="000000" w:themeColor="text1"/>
                <w:kern w:val="0"/>
                <w:sz w:val="24"/>
                <w:szCs w:val="24"/>
                <w:highlight w:val="none"/>
                <w:u w:val="single"/>
                <w:lang w:val="en-US" w:eastAsia="zh-CN"/>
                <w14:textFill>
                  <w14:solidFill>
                    <w14:schemeClr w14:val="tx1"/>
                  </w14:solidFill>
                </w14:textFill>
              </w:rPr>
              <w:t>50</w:t>
            </w:r>
            <w:r>
              <w:rPr>
                <w:rFonts w:hint="eastAsia" w:cs="宋体"/>
                <w:bCs/>
                <w:color w:val="000000" w:themeColor="text1"/>
                <w:kern w:val="0"/>
                <w:sz w:val="24"/>
                <w:szCs w:val="24"/>
                <w:highlight w:val="none"/>
                <w:u w:val="single"/>
                <w14:textFill>
                  <w14:solidFill>
                    <w14:schemeClr w14:val="tx1"/>
                  </w14:solidFill>
                </w14:textFill>
              </w:rPr>
              <w:t>m的卫生防护距离。</w:t>
            </w:r>
          </w:p>
          <w:p w14:paraId="3795AFFB">
            <w:pPr>
              <w:widowControl/>
              <w:adjustRightInd w:val="0"/>
              <w:spacing w:beforeLines="0" w:afterLines="0" w:line="360" w:lineRule="auto"/>
              <w:ind w:firstLine="482"/>
              <w:contextualSpacing/>
              <w:rPr>
                <w:rFonts w:cs="宋体"/>
                <w:bCs/>
                <w:color w:val="000000" w:themeColor="text1"/>
                <w:kern w:val="0"/>
                <w:sz w:val="24"/>
                <w:szCs w:val="24"/>
                <w:highlight w:val="none"/>
                <w14:textFill>
                  <w14:solidFill>
                    <w14:schemeClr w14:val="tx1"/>
                  </w14:solidFill>
                </w14:textFill>
              </w:rPr>
            </w:pPr>
            <w:r>
              <w:rPr>
                <w:rFonts w:hint="eastAsia" w:cs="宋体"/>
                <w:bCs/>
                <w:color w:val="000000" w:themeColor="text1"/>
                <w:kern w:val="0"/>
                <w:sz w:val="24"/>
                <w:szCs w:val="24"/>
                <w:highlight w:val="none"/>
                <w14:textFill>
                  <w14:solidFill>
                    <w14:schemeClr w14:val="tx1"/>
                  </w14:solidFill>
                </w14:textFill>
              </w:rPr>
              <w:t>现状项目卫生防护距离内不存在敏感点。环评要求：防护距离内不应新建住宅、学校、医院等环境敏感设施，不宜建食品、医药等企业，以免产生不良影响。</w:t>
            </w:r>
          </w:p>
          <w:p w14:paraId="4B46FE57">
            <w:pPr>
              <w:widowControl/>
              <w:adjustRightInd w:val="0"/>
              <w:spacing w:beforeLines="0" w:afterLines="0" w:line="360" w:lineRule="auto"/>
              <w:ind w:firstLine="482"/>
              <w:contextualSpacing/>
              <w:rPr>
                <w:rFonts w:cs="宋体"/>
                <w:b/>
                <w:bCs/>
                <w:color w:val="000000" w:themeColor="text1"/>
                <w:kern w:val="0"/>
                <w:sz w:val="24"/>
                <w:szCs w:val="24"/>
                <w:highlight w:val="none"/>
                <w:u w:val="single"/>
                <w14:textFill>
                  <w14:solidFill>
                    <w14:schemeClr w14:val="tx1"/>
                  </w14:solidFill>
                </w14:textFill>
              </w:rPr>
            </w:pPr>
            <w:r>
              <w:rPr>
                <w:rFonts w:hint="eastAsia" w:cs="宋体"/>
                <w:b/>
                <w:color w:val="000000" w:themeColor="text1"/>
                <w:sz w:val="24"/>
                <w:szCs w:val="24"/>
                <w:highlight w:val="none"/>
                <w:u w:val="single"/>
                <w14:textFill>
                  <w14:solidFill>
                    <w14:schemeClr w14:val="tx1"/>
                  </w14:solidFill>
                </w14:textFill>
              </w:rPr>
              <w:t>采用上述处理措施后，项目运营期不会对区域的大气环境造成明显影响。</w:t>
            </w:r>
          </w:p>
          <w:p w14:paraId="598102E0">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szCs w:val="24"/>
                <w:highlight w:val="none"/>
                <w14:textFill>
                  <w14:solidFill>
                    <w14:schemeClr w14:val="tx1"/>
                  </w14:solidFill>
                </w14:textFill>
              </w:rPr>
              <w:t>）监测计划</w:t>
            </w:r>
          </w:p>
          <w:p w14:paraId="19E036FE">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本项目进行商品混凝土生产，根据《固定污染源排污许可分类管理名录（2019）年版）》，项目为登记管理。参考《排污单位自行监测技术指南 总则》（HJ819-2017）、《排污许可证申请与核发技术规范 水泥工业》（HJ847-2017）并结合项目实际情况，现将全厂废气的监测建议列于下表</w:t>
            </w:r>
            <w:r>
              <w:rPr>
                <w:rFonts w:hint="default" w:ascii="Times New Roman" w:hAnsi="Times New Roman" w:cs="Times New Roman"/>
                <w:color w:val="000000" w:themeColor="text1"/>
                <w:sz w:val="24"/>
                <w:szCs w:val="24"/>
                <w:highlight w:val="none"/>
                <w14:textFill>
                  <w14:solidFill>
                    <w14:schemeClr w14:val="tx1"/>
                  </w14:solidFill>
                </w14:textFill>
              </w:rPr>
              <w:t>：</w:t>
            </w:r>
          </w:p>
          <w:p w14:paraId="657A8789">
            <w:pPr>
              <w:numPr>
                <w:ilvl w:val="0"/>
                <w:numId w:val="0"/>
              </w:numPr>
              <w:spacing w:beforeLines="0" w:afterLines="0" w:line="360" w:lineRule="auto"/>
              <w:jc w:val="center"/>
              <w:rPr>
                <w:rFonts w:hint="default" w:ascii="Times New Roman" w:hAnsi="Times New Roman" w:eastAsia="宋体" w:cs="Times New Roman"/>
                <w:b/>
                <w:bCs/>
                <w:color w:val="000000" w:themeColor="text1"/>
                <w:kern w:val="21"/>
                <w:sz w:val="21"/>
                <w:szCs w:val="21"/>
                <w:highlight w:val="none"/>
                <w:lang w:val="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表4-</w:t>
            </w:r>
            <w:r>
              <w:rPr>
                <w:rFonts w:hint="eastAsia" w:cs="Times New Roman"/>
                <w:b/>
                <w:bCs/>
                <w:color w:val="000000" w:themeColor="text1"/>
                <w:kern w:val="21"/>
                <w:sz w:val="21"/>
                <w:szCs w:val="21"/>
                <w:highlight w:val="none"/>
                <w:lang w:val="en-US" w:eastAsia="zh-CN"/>
                <w14:textFill>
                  <w14:solidFill>
                    <w14:schemeClr w14:val="tx1"/>
                  </w14:solidFill>
                </w14:textFill>
              </w:rPr>
              <w:t>10</w:t>
            </w:r>
            <w:r>
              <w:rPr>
                <w:rFonts w:hint="default" w:ascii="Times New Roman" w:hAnsi="Times New Roman" w:cs="Times New Roman"/>
                <w:b/>
                <w:bCs/>
                <w:color w:val="000000" w:themeColor="text1"/>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1"/>
                <w:sz w:val="21"/>
                <w:szCs w:val="21"/>
                <w:highlight w:val="none"/>
                <w:lang w:val="zh-CN"/>
                <w14:textFill>
                  <w14:solidFill>
                    <w14:schemeClr w14:val="tx1"/>
                  </w14:solidFill>
                </w14:textFill>
              </w:rPr>
              <w:t>废气监测计划一览表</w:t>
            </w:r>
          </w:p>
          <w:tbl>
            <w:tblPr>
              <w:tblStyle w:val="35"/>
              <w:tblW w:w="4958" w:type="pct"/>
              <w:jc w:val="center"/>
              <w:tblBorders>
                <w:top w:val="single" w:color="auto" w:sz="4" w:space="0"/>
                <w:left w:val="none" w:color="auto" w:sz="0" w:space="0"/>
                <w:bottom w:val="single" w:color="auto" w:sz="6"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6"/>
              <w:gridCol w:w="1697"/>
              <w:gridCol w:w="908"/>
              <w:gridCol w:w="1026"/>
              <w:gridCol w:w="3561"/>
            </w:tblGrid>
            <w:tr w14:paraId="10E08034">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4" w:type="pct"/>
                  <w:shd w:val="clear" w:color="auto" w:fill="auto"/>
                  <w:noWrap w:val="0"/>
                  <w:vAlign w:val="center"/>
                </w:tcPr>
                <w:p w14:paraId="1C9B524D">
                  <w:pPr>
                    <w:widowControl/>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lang w:bidi="ar"/>
                      <w14:textFill>
                        <w14:solidFill>
                          <w14:schemeClr w14:val="tx1"/>
                        </w14:solidFill>
                      </w14:textFill>
                    </w:rPr>
                    <w:t>污染类型</w:t>
                  </w:r>
                </w:p>
              </w:tc>
              <w:tc>
                <w:tcPr>
                  <w:tcW w:w="1060" w:type="pct"/>
                  <w:shd w:val="clear" w:color="auto" w:fill="auto"/>
                  <w:noWrap w:val="0"/>
                  <w:vAlign w:val="center"/>
                </w:tcPr>
                <w:p w14:paraId="3DB1E88F">
                  <w:pPr>
                    <w:widowControl/>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lang w:bidi="ar"/>
                      <w14:textFill>
                        <w14:solidFill>
                          <w14:schemeClr w14:val="tx1"/>
                        </w14:solidFill>
                      </w14:textFill>
                    </w:rPr>
                    <w:t>排污口</w:t>
                  </w:r>
                </w:p>
              </w:tc>
              <w:tc>
                <w:tcPr>
                  <w:tcW w:w="567" w:type="pct"/>
                  <w:shd w:val="clear" w:color="auto" w:fill="auto"/>
                  <w:noWrap w:val="0"/>
                  <w:vAlign w:val="center"/>
                </w:tcPr>
                <w:p w14:paraId="720D055F">
                  <w:pPr>
                    <w:widowControl/>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lang w:bidi="ar"/>
                      <w14:textFill>
                        <w14:solidFill>
                          <w14:schemeClr w14:val="tx1"/>
                        </w14:solidFill>
                      </w14:textFill>
                    </w:rPr>
                    <w:t>监测因子</w:t>
                  </w:r>
                </w:p>
              </w:tc>
              <w:tc>
                <w:tcPr>
                  <w:tcW w:w="641" w:type="pct"/>
                  <w:shd w:val="clear" w:color="auto" w:fill="auto"/>
                  <w:noWrap w:val="0"/>
                  <w:vAlign w:val="center"/>
                </w:tcPr>
                <w:p w14:paraId="57ABDABD">
                  <w:pPr>
                    <w:widowControl/>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lang w:bidi="ar"/>
                      <w14:textFill>
                        <w14:solidFill>
                          <w14:schemeClr w14:val="tx1"/>
                        </w14:solidFill>
                      </w14:textFill>
                    </w:rPr>
                    <w:t>监测频次</w:t>
                  </w:r>
                </w:p>
              </w:tc>
              <w:tc>
                <w:tcPr>
                  <w:tcW w:w="2225" w:type="pct"/>
                  <w:shd w:val="clear" w:color="auto" w:fill="auto"/>
                  <w:noWrap w:val="0"/>
                  <w:vAlign w:val="center"/>
                </w:tcPr>
                <w:p w14:paraId="37291B2B">
                  <w:pPr>
                    <w:widowControl/>
                    <w:spacing w:before="157" w:beforeLines="50" w:afterLines="0" w:line="360" w:lineRule="auto"/>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lang w:bidi="ar"/>
                      <w14:textFill>
                        <w14:solidFill>
                          <w14:schemeClr w14:val="tx1"/>
                        </w14:solidFill>
                      </w14:textFill>
                    </w:rPr>
                    <w:t>执行标准</w:t>
                  </w:r>
                </w:p>
              </w:tc>
            </w:tr>
            <w:tr w14:paraId="2DAF7B01">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restart"/>
                  <w:shd w:val="clear" w:color="auto" w:fill="auto"/>
                  <w:noWrap w:val="0"/>
                  <w:vAlign w:val="center"/>
                </w:tcPr>
                <w:p w14:paraId="5E7C9239">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bidi="ar"/>
                      <w14:textFill>
                        <w14:solidFill>
                          <w14:schemeClr w14:val="tx1"/>
                        </w14:solidFill>
                      </w14:textFill>
                    </w:rPr>
                    <w:t>废气</w:t>
                  </w:r>
                </w:p>
              </w:tc>
              <w:tc>
                <w:tcPr>
                  <w:tcW w:w="1060" w:type="pct"/>
                  <w:shd w:val="clear" w:color="auto" w:fill="auto"/>
                  <w:noWrap w:val="0"/>
                  <w:vAlign w:val="center"/>
                </w:tcPr>
                <w:p w14:paraId="32866163">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bidi="ar"/>
                      <w14:textFill>
                        <w14:solidFill>
                          <w14:schemeClr w14:val="tx1"/>
                        </w14:solidFill>
                      </w14:textFill>
                    </w:rPr>
                    <w:t>排气筒</w:t>
                  </w:r>
                  <w:r>
                    <w:rPr>
                      <w:rStyle w:val="76"/>
                      <w:rFonts w:hint="default" w:ascii="Times New Roman" w:hAnsi="Times New Roman" w:eastAsia="宋体" w:cs="Times New Roman"/>
                      <w:color w:val="000000" w:themeColor="text1"/>
                      <w:kern w:val="21"/>
                      <w:sz w:val="21"/>
                      <w:szCs w:val="21"/>
                      <w:highlight w:val="none"/>
                      <w:lang w:bidi="ar"/>
                      <w14:textFill>
                        <w14:solidFill>
                          <w14:schemeClr w14:val="tx1"/>
                        </w14:solidFill>
                      </w14:textFill>
                    </w:rPr>
                    <w:t>DA001</w:t>
                  </w:r>
                </w:p>
              </w:tc>
              <w:tc>
                <w:tcPr>
                  <w:tcW w:w="567" w:type="pct"/>
                  <w:shd w:val="clear" w:color="auto" w:fill="auto"/>
                  <w:noWrap w:val="0"/>
                  <w:vAlign w:val="center"/>
                </w:tcPr>
                <w:p w14:paraId="626A8585">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颗粒物</w:t>
                  </w:r>
                </w:p>
              </w:tc>
              <w:tc>
                <w:tcPr>
                  <w:tcW w:w="641" w:type="pct"/>
                  <w:shd w:val="clear" w:color="auto" w:fill="auto"/>
                  <w:noWrap w:val="0"/>
                  <w:vAlign w:val="center"/>
                </w:tcPr>
                <w:p w14:paraId="30E3A000">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Style w:val="76"/>
                      <w:rFonts w:hint="default" w:ascii="Times New Roman" w:hAnsi="Times New Roman" w:cs="Times New Roman"/>
                      <w:color w:val="000000" w:themeColor="text1"/>
                      <w:kern w:val="21"/>
                      <w:sz w:val="21"/>
                      <w:szCs w:val="21"/>
                      <w:highlight w:val="none"/>
                      <w:lang w:bidi="ar"/>
                      <w14:textFill>
                        <w14:solidFill>
                          <w14:schemeClr w14:val="tx1"/>
                        </w14:solidFill>
                      </w14:textFill>
                    </w:rPr>
                    <w:t>1</w:t>
                  </w:r>
                  <w:r>
                    <w:rPr>
                      <w:rFonts w:hint="default" w:ascii="Times New Roman" w:hAnsi="Times New Roman" w:cs="Times New Roman"/>
                      <w:color w:val="000000" w:themeColor="text1"/>
                      <w:kern w:val="21"/>
                      <w:szCs w:val="21"/>
                      <w:highlight w:val="none"/>
                      <w:lang w:bidi="ar"/>
                      <w14:textFill>
                        <w14:solidFill>
                          <w14:schemeClr w14:val="tx1"/>
                        </w14:solidFill>
                      </w14:textFill>
                    </w:rPr>
                    <w:t>次</w:t>
                  </w:r>
                  <w:r>
                    <w:rPr>
                      <w:rStyle w:val="76"/>
                      <w:rFonts w:hint="default" w:ascii="Times New Roman" w:hAnsi="Times New Roman" w:cs="Times New Roman"/>
                      <w:color w:val="000000" w:themeColor="text1"/>
                      <w:kern w:val="21"/>
                      <w:sz w:val="21"/>
                      <w:szCs w:val="21"/>
                      <w:highlight w:val="none"/>
                      <w:lang w:bidi="ar"/>
                      <w14:textFill>
                        <w14:solidFill>
                          <w14:schemeClr w14:val="tx1"/>
                        </w14:solidFill>
                      </w14:textFill>
                    </w:rPr>
                    <w:t>/</w:t>
                  </w:r>
                  <w:r>
                    <w:rPr>
                      <w:rFonts w:hint="default" w:ascii="Times New Roman" w:hAnsi="Times New Roman" w:cs="Times New Roman"/>
                      <w:color w:val="000000" w:themeColor="text1"/>
                      <w:kern w:val="21"/>
                      <w:szCs w:val="21"/>
                      <w:highlight w:val="none"/>
                      <w:lang w:bidi="ar"/>
                      <w14:textFill>
                        <w14:solidFill>
                          <w14:schemeClr w14:val="tx1"/>
                        </w14:solidFill>
                      </w14:textFill>
                    </w:rPr>
                    <w:t>年</w:t>
                  </w:r>
                </w:p>
              </w:tc>
              <w:tc>
                <w:tcPr>
                  <w:tcW w:w="2225" w:type="pct"/>
                  <w:vMerge w:val="restart"/>
                  <w:shd w:val="clear" w:color="auto" w:fill="auto"/>
                  <w:noWrap w:val="0"/>
                  <w:vAlign w:val="center"/>
                </w:tcPr>
                <w:p w14:paraId="71966698">
                  <w:pPr>
                    <w:widowControl/>
                    <w:spacing w:before="157" w:beforeLines="50" w:afterLines="0" w:line="360" w:lineRule="auto"/>
                    <w:ind w:firstLine="420" w:firstLineChars="200"/>
                    <w:rPr>
                      <w:rFonts w:hint="default"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1"/>
                      <w:szCs w:val="21"/>
                      <w:highlight w:val="none"/>
                      <w:lang w:eastAsia="zh-CN"/>
                      <w14:textFill>
                        <w14:solidFill>
                          <w14:schemeClr w14:val="tx1"/>
                        </w14:solidFill>
                      </w14:textFill>
                    </w:rPr>
                    <w:t>《四川省水泥工业大气污染物排放标准》（DB51/2864-2021）表1中颗粒物最高允许排放浓度10mg/m³要求</w:t>
                  </w:r>
                </w:p>
              </w:tc>
            </w:tr>
            <w:tr w14:paraId="330CDA25">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shd w:val="clear" w:color="auto" w:fill="auto"/>
                  <w:noWrap w:val="0"/>
                  <w:vAlign w:val="center"/>
                </w:tcPr>
                <w:p w14:paraId="6CA437FB">
                  <w:pPr>
                    <w:widowControl/>
                    <w:spacing w:before="157" w:beforeLines="50" w:afterLines="0" w:line="360" w:lineRule="auto"/>
                    <w:jc w:val="center"/>
                    <w:rPr>
                      <w:rFonts w:hint="default" w:ascii="Times New Roman" w:hAnsi="Times New Roman" w:cs="Times New Roman"/>
                      <w:color w:val="000000" w:themeColor="text1"/>
                      <w:kern w:val="21"/>
                      <w:szCs w:val="21"/>
                      <w:highlight w:val="none"/>
                      <w:lang w:bidi="ar"/>
                      <w14:textFill>
                        <w14:solidFill>
                          <w14:schemeClr w14:val="tx1"/>
                        </w14:solidFill>
                      </w14:textFill>
                    </w:rPr>
                  </w:pPr>
                </w:p>
              </w:tc>
              <w:tc>
                <w:tcPr>
                  <w:tcW w:w="1060" w:type="pct"/>
                  <w:shd w:val="clear" w:color="auto" w:fill="auto"/>
                  <w:noWrap w:val="0"/>
                  <w:vAlign w:val="center"/>
                </w:tcPr>
                <w:p w14:paraId="51B05CCD">
                  <w:pPr>
                    <w:widowControl/>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21"/>
                      <w:szCs w:val="21"/>
                      <w:highlight w:val="none"/>
                      <w:lang w:bidi="ar"/>
                      <w14:textFill>
                        <w14:solidFill>
                          <w14:schemeClr w14:val="tx1"/>
                        </w14:solidFill>
                      </w14:textFill>
                    </w:rPr>
                    <w:t>排气筒DA00</w:t>
                  </w:r>
                  <w:r>
                    <w:rPr>
                      <w:rFonts w:hint="default" w:ascii="Times New Roman" w:hAnsi="Times New Roman" w:cs="Times New Roman"/>
                      <w:color w:val="000000" w:themeColor="text1"/>
                      <w:kern w:val="21"/>
                      <w:szCs w:val="21"/>
                      <w:highlight w:val="none"/>
                      <w:lang w:val="en-US" w:eastAsia="zh-CN" w:bidi="ar"/>
                      <w14:textFill>
                        <w14:solidFill>
                          <w14:schemeClr w14:val="tx1"/>
                        </w14:solidFill>
                      </w14:textFill>
                    </w:rPr>
                    <w:t>2</w:t>
                  </w:r>
                </w:p>
              </w:tc>
              <w:tc>
                <w:tcPr>
                  <w:tcW w:w="567" w:type="pct"/>
                  <w:shd w:val="clear" w:color="auto" w:fill="auto"/>
                  <w:noWrap w:val="0"/>
                  <w:vAlign w:val="center"/>
                </w:tcPr>
                <w:p w14:paraId="2455660A">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641" w:type="pct"/>
                  <w:shd w:val="clear" w:color="auto" w:fill="auto"/>
                  <w:noWrap w:val="0"/>
                  <w:vAlign w:val="center"/>
                </w:tcPr>
                <w:p w14:paraId="18A1383F">
                  <w:pPr>
                    <w:widowControl/>
                    <w:spacing w:before="157" w:beforeLines="50" w:afterLines="0" w:line="360" w:lineRule="auto"/>
                    <w:jc w:val="center"/>
                    <w:rPr>
                      <w:rStyle w:val="76"/>
                      <w:rFonts w:hint="default" w:ascii="Times New Roman" w:hAnsi="Times New Roman" w:cs="Times New Roman"/>
                      <w:color w:val="000000" w:themeColor="text1"/>
                      <w:kern w:val="21"/>
                      <w:sz w:val="21"/>
                      <w:szCs w:val="21"/>
                      <w:highlight w:val="none"/>
                      <w:lang w:bidi="ar"/>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1次/年</w:t>
                  </w:r>
                </w:p>
              </w:tc>
              <w:tc>
                <w:tcPr>
                  <w:tcW w:w="2225" w:type="pct"/>
                  <w:vMerge w:val="continue"/>
                  <w:shd w:val="clear" w:color="auto" w:fill="auto"/>
                  <w:noWrap w:val="0"/>
                  <w:vAlign w:val="center"/>
                </w:tcPr>
                <w:p w14:paraId="213AE0C3">
                  <w:pPr>
                    <w:widowControl/>
                    <w:spacing w:before="157" w:beforeLines="50" w:afterLines="0" w:line="360" w:lineRule="auto"/>
                    <w:ind w:firstLine="420" w:firstLineChars="200"/>
                    <w:rPr>
                      <w:rFonts w:hint="default" w:ascii="Times New Roman" w:hAnsi="Times New Roman" w:cs="Times New Roman"/>
                      <w:color w:val="000000" w:themeColor="text1"/>
                      <w:kern w:val="21"/>
                      <w:szCs w:val="21"/>
                      <w:highlight w:val="none"/>
                      <w:lang w:eastAsia="zh-CN"/>
                      <w14:textFill>
                        <w14:solidFill>
                          <w14:schemeClr w14:val="tx1"/>
                        </w14:solidFill>
                      </w14:textFill>
                    </w:rPr>
                  </w:pPr>
                </w:p>
              </w:tc>
            </w:tr>
            <w:tr w14:paraId="1B4BABB8">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shd w:val="clear" w:color="auto" w:fill="auto"/>
                  <w:noWrap w:val="0"/>
                  <w:vAlign w:val="center"/>
                </w:tcPr>
                <w:p w14:paraId="6D3EAB2A">
                  <w:pPr>
                    <w:widowControl/>
                    <w:spacing w:before="157" w:beforeLines="50" w:afterLines="0" w:line="360" w:lineRule="auto"/>
                    <w:jc w:val="center"/>
                    <w:rPr>
                      <w:rFonts w:hint="default" w:ascii="Times New Roman" w:hAnsi="Times New Roman" w:cs="Times New Roman"/>
                      <w:color w:val="000000" w:themeColor="text1"/>
                      <w:kern w:val="21"/>
                      <w:szCs w:val="21"/>
                      <w:highlight w:val="none"/>
                      <w:lang w:bidi="ar"/>
                      <w14:textFill>
                        <w14:solidFill>
                          <w14:schemeClr w14:val="tx1"/>
                        </w14:solidFill>
                      </w14:textFill>
                    </w:rPr>
                  </w:pPr>
                </w:p>
              </w:tc>
              <w:tc>
                <w:tcPr>
                  <w:tcW w:w="1060" w:type="pct"/>
                  <w:shd w:val="clear" w:color="auto" w:fill="auto"/>
                  <w:noWrap w:val="0"/>
                  <w:vAlign w:val="center"/>
                </w:tcPr>
                <w:p w14:paraId="5354AFE9">
                  <w:pPr>
                    <w:widowControl/>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21"/>
                      <w:szCs w:val="21"/>
                      <w:highlight w:val="none"/>
                      <w:lang w:bidi="ar"/>
                      <w14:textFill>
                        <w14:solidFill>
                          <w14:schemeClr w14:val="tx1"/>
                        </w14:solidFill>
                      </w14:textFill>
                    </w:rPr>
                    <w:t>排气筒DA00</w:t>
                  </w:r>
                  <w:r>
                    <w:rPr>
                      <w:rFonts w:hint="default" w:ascii="Times New Roman" w:hAnsi="Times New Roman" w:cs="Times New Roman"/>
                      <w:color w:val="000000" w:themeColor="text1"/>
                      <w:kern w:val="21"/>
                      <w:szCs w:val="21"/>
                      <w:highlight w:val="none"/>
                      <w:lang w:val="en-US" w:eastAsia="zh-CN" w:bidi="ar"/>
                      <w14:textFill>
                        <w14:solidFill>
                          <w14:schemeClr w14:val="tx1"/>
                        </w14:solidFill>
                      </w14:textFill>
                    </w:rPr>
                    <w:t>3</w:t>
                  </w:r>
                </w:p>
              </w:tc>
              <w:tc>
                <w:tcPr>
                  <w:tcW w:w="567" w:type="pct"/>
                  <w:shd w:val="clear" w:color="auto" w:fill="auto"/>
                  <w:noWrap w:val="0"/>
                  <w:vAlign w:val="center"/>
                </w:tcPr>
                <w:p w14:paraId="2260758C">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641" w:type="pct"/>
                  <w:shd w:val="clear" w:color="auto" w:fill="auto"/>
                  <w:noWrap w:val="0"/>
                  <w:vAlign w:val="center"/>
                </w:tcPr>
                <w:p w14:paraId="4598EF5E">
                  <w:pPr>
                    <w:widowControl/>
                    <w:spacing w:before="157" w:beforeLines="50" w:afterLines="0" w:line="360" w:lineRule="auto"/>
                    <w:jc w:val="center"/>
                    <w:rPr>
                      <w:rStyle w:val="76"/>
                      <w:rFonts w:hint="default" w:ascii="Times New Roman" w:hAnsi="Times New Roman" w:cs="Times New Roman"/>
                      <w:color w:val="000000" w:themeColor="text1"/>
                      <w:kern w:val="21"/>
                      <w:sz w:val="21"/>
                      <w:szCs w:val="21"/>
                      <w:highlight w:val="none"/>
                      <w:lang w:bidi="ar"/>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1次/年</w:t>
                  </w:r>
                </w:p>
              </w:tc>
              <w:tc>
                <w:tcPr>
                  <w:tcW w:w="2225" w:type="pct"/>
                  <w:vMerge w:val="continue"/>
                  <w:shd w:val="clear" w:color="auto" w:fill="auto"/>
                  <w:noWrap w:val="0"/>
                  <w:vAlign w:val="center"/>
                </w:tcPr>
                <w:p w14:paraId="72D83ED5">
                  <w:pPr>
                    <w:widowControl/>
                    <w:spacing w:before="157" w:beforeLines="50" w:afterLines="0" w:line="360" w:lineRule="auto"/>
                    <w:ind w:firstLine="420" w:firstLineChars="200"/>
                    <w:rPr>
                      <w:rFonts w:hint="default" w:ascii="Times New Roman" w:hAnsi="Times New Roman" w:cs="Times New Roman"/>
                      <w:color w:val="000000" w:themeColor="text1"/>
                      <w:kern w:val="21"/>
                      <w:szCs w:val="21"/>
                      <w:highlight w:val="none"/>
                      <w:lang w:eastAsia="zh-CN"/>
                      <w14:textFill>
                        <w14:solidFill>
                          <w14:schemeClr w14:val="tx1"/>
                        </w14:solidFill>
                      </w14:textFill>
                    </w:rPr>
                  </w:pPr>
                </w:p>
              </w:tc>
            </w:tr>
            <w:tr w14:paraId="6331FD4A">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shd w:val="clear" w:color="auto" w:fill="auto"/>
                  <w:noWrap w:val="0"/>
                  <w:vAlign w:val="center"/>
                </w:tcPr>
                <w:p w14:paraId="54BBEE61">
                  <w:pPr>
                    <w:widowControl/>
                    <w:spacing w:before="157" w:beforeLines="50" w:afterLines="0" w:line="360" w:lineRule="auto"/>
                    <w:jc w:val="center"/>
                    <w:rPr>
                      <w:rFonts w:hint="default" w:ascii="Times New Roman" w:hAnsi="Times New Roman" w:cs="Times New Roman"/>
                      <w:color w:val="000000" w:themeColor="text1"/>
                      <w:kern w:val="21"/>
                      <w:szCs w:val="21"/>
                      <w:highlight w:val="none"/>
                      <w:lang w:bidi="ar"/>
                      <w14:textFill>
                        <w14:solidFill>
                          <w14:schemeClr w14:val="tx1"/>
                        </w14:solidFill>
                      </w14:textFill>
                    </w:rPr>
                  </w:pPr>
                </w:p>
              </w:tc>
              <w:tc>
                <w:tcPr>
                  <w:tcW w:w="1060" w:type="pct"/>
                  <w:shd w:val="clear" w:color="auto" w:fill="auto"/>
                  <w:noWrap w:val="0"/>
                  <w:vAlign w:val="center"/>
                </w:tcPr>
                <w:p w14:paraId="64F6D35A">
                  <w:pPr>
                    <w:widowControl/>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21"/>
                      <w:szCs w:val="21"/>
                      <w:highlight w:val="none"/>
                      <w:lang w:bidi="ar"/>
                      <w14:textFill>
                        <w14:solidFill>
                          <w14:schemeClr w14:val="tx1"/>
                        </w14:solidFill>
                      </w14:textFill>
                    </w:rPr>
                    <w:t>排气筒DA00</w:t>
                  </w:r>
                  <w:r>
                    <w:rPr>
                      <w:rFonts w:hint="default" w:ascii="Times New Roman" w:hAnsi="Times New Roman" w:cs="Times New Roman"/>
                      <w:color w:val="000000" w:themeColor="text1"/>
                      <w:kern w:val="21"/>
                      <w:szCs w:val="21"/>
                      <w:highlight w:val="none"/>
                      <w:lang w:val="en-US" w:eastAsia="zh-CN" w:bidi="ar"/>
                      <w14:textFill>
                        <w14:solidFill>
                          <w14:schemeClr w14:val="tx1"/>
                        </w14:solidFill>
                      </w14:textFill>
                    </w:rPr>
                    <w:t>4</w:t>
                  </w:r>
                </w:p>
              </w:tc>
              <w:tc>
                <w:tcPr>
                  <w:tcW w:w="567" w:type="pct"/>
                  <w:shd w:val="clear" w:color="auto" w:fill="auto"/>
                  <w:noWrap w:val="0"/>
                  <w:vAlign w:val="center"/>
                </w:tcPr>
                <w:p w14:paraId="277232A3">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641" w:type="pct"/>
                  <w:shd w:val="clear" w:color="auto" w:fill="auto"/>
                  <w:noWrap w:val="0"/>
                  <w:vAlign w:val="center"/>
                </w:tcPr>
                <w:p w14:paraId="4AA73631">
                  <w:pPr>
                    <w:widowControl/>
                    <w:spacing w:before="157" w:beforeLines="50" w:afterLines="0" w:line="360" w:lineRule="auto"/>
                    <w:jc w:val="center"/>
                    <w:rPr>
                      <w:rStyle w:val="76"/>
                      <w:rFonts w:hint="default" w:ascii="Times New Roman" w:hAnsi="Times New Roman" w:cs="Times New Roman"/>
                      <w:color w:val="000000" w:themeColor="text1"/>
                      <w:kern w:val="21"/>
                      <w:sz w:val="21"/>
                      <w:szCs w:val="21"/>
                      <w:highlight w:val="none"/>
                      <w:lang w:bidi="ar"/>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1次/年</w:t>
                  </w:r>
                </w:p>
              </w:tc>
              <w:tc>
                <w:tcPr>
                  <w:tcW w:w="2225" w:type="pct"/>
                  <w:vMerge w:val="continue"/>
                  <w:shd w:val="clear" w:color="auto" w:fill="auto"/>
                  <w:noWrap w:val="0"/>
                  <w:vAlign w:val="center"/>
                </w:tcPr>
                <w:p w14:paraId="0E0BEB8C">
                  <w:pPr>
                    <w:widowControl/>
                    <w:spacing w:before="157" w:beforeLines="50" w:afterLines="0" w:line="360" w:lineRule="auto"/>
                    <w:ind w:firstLine="420" w:firstLineChars="200"/>
                    <w:rPr>
                      <w:rFonts w:hint="default" w:ascii="Times New Roman" w:hAnsi="Times New Roman" w:cs="Times New Roman"/>
                      <w:color w:val="000000" w:themeColor="text1"/>
                      <w:kern w:val="21"/>
                      <w:szCs w:val="21"/>
                      <w:highlight w:val="none"/>
                      <w:lang w:eastAsia="zh-CN"/>
                      <w14:textFill>
                        <w14:solidFill>
                          <w14:schemeClr w14:val="tx1"/>
                        </w14:solidFill>
                      </w14:textFill>
                    </w:rPr>
                  </w:pPr>
                </w:p>
              </w:tc>
            </w:tr>
            <w:tr w14:paraId="081217AB">
              <w:tblPrEx>
                <w:tblBorders>
                  <w:top w:val="single" w:color="auto" w:sz="4"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shd w:val="clear" w:color="auto" w:fill="auto"/>
                  <w:noWrap w:val="0"/>
                  <w:vAlign w:val="center"/>
                </w:tcPr>
                <w:p w14:paraId="35FD8572">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p>
              </w:tc>
              <w:tc>
                <w:tcPr>
                  <w:tcW w:w="1060" w:type="pct"/>
                  <w:shd w:val="clear" w:color="auto" w:fill="auto"/>
                  <w:noWrap w:val="0"/>
                  <w:vAlign w:val="center"/>
                </w:tcPr>
                <w:p w14:paraId="391B6920">
                  <w:pPr>
                    <w:widowControl/>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厂界</w:t>
                  </w:r>
                </w:p>
              </w:tc>
              <w:tc>
                <w:tcPr>
                  <w:tcW w:w="567" w:type="pct"/>
                  <w:shd w:val="clear" w:color="auto" w:fill="auto"/>
                  <w:noWrap w:val="0"/>
                  <w:vAlign w:val="center"/>
                </w:tcPr>
                <w:p w14:paraId="536DE553">
                  <w:pPr>
                    <w:widowControl/>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颗粒物</w:t>
                  </w:r>
                </w:p>
              </w:tc>
              <w:tc>
                <w:tcPr>
                  <w:tcW w:w="641" w:type="pct"/>
                  <w:shd w:val="clear" w:color="auto" w:fill="auto"/>
                  <w:noWrap w:val="0"/>
                  <w:vAlign w:val="center"/>
                </w:tcPr>
                <w:p w14:paraId="41CAB320">
                  <w:pPr>
                    <w:widowControl/>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1次/</w:t>
                  </w:r>
                  <w:r>
                    <w:rPr>
                      <w:rFonts w:hint="default" w:ascii="Times New Roman" w:hAnsi="Times New Roman" w:cs="Times New Roman"/>
                      <w:color w:val="000000" w:themeColor="text1"/>
                      <w:szCs w:val="21"/>
                      <w:highlight w:val="none"/>
                      <w:lang w:val="en-US" w:eastAsia="zh-CN"/>
                      <w14:textFill>
                        <w14:solidFill>
                          <w14:schemeClr w14:val="tx1"/>
                        </w14:solidFill>
                      </w14:textFill>
                    </w:rPr>
                    <w:t>季</w:t>
                  </w:r>
                </w:p>
              </w:tc>
              <w:tc>
                <w:tcPr>
                  <w:tcW w:w="2225" w:type="pct"/>
                  <w:shd w:val="clear" w:color="auto" w:fill="auto"/>
                  <w:noWrap w:val="0"/>
                  <w:vAlign w:val="center"/>
                </w:tcPr>
                <w:p w14:paraId="754D20ED">
                  <w:pPr>
                    <w:spacing w:before="157" w:beforeLines="50" w:afterLines="0" w:line="360" w:lineRule="auto"/>
                    <w:ind w:firstLine="420" w:firstLineChars="200"/>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《四川省水泥工业大气污染物排放标准》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DB51/2864--2021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企业边界大气污染物浓度限值</w:t>
                  </w:r>
                </w:p>
              </w:tc>
            </w:tr>
          </w:tbl>
          <w:p w14:paraId="68E0CF30">
            <w:pPr>
              <w:keepNext w:val="0"/>
              <w:keepLines w:val="0"/>
              <w:pageBreakBefore w:val="0"/>
              <w:kinsoku/>
              <w:wordWrap/>
              <w:topLinePunct w:val="0"/>
              <w:bidi w:val="0"/>
              <w:snapToGrid/>
              <w:spacing w:beforeLines="0" w:beforeAutospacing="0" w:afterLines="0" w:afterAutospacing="0"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环境影响分析</w:t>
            </w:r>
          </w:p>
          <w:p w14:paraId="60AF5148">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项目所在区域各常规污染物均符合《环境空气质量标准》（GB3095-2012）中二级标准，城市环境空气质量达标，项目所在区域为达标区。</w:t>
            </w:r>
          </w:p>
          <w:p w14:paraId="08D4761D">
            <w:pPr>
              <w:keepNext w:val="0"/>
              <w:keepLines w:val="0"/>
              <w:pageBreakBefore w:val="0"/>
              <w:kinsoku/>
              <w:wordWrap/>
              <w:topLinePunct w:val="0"/>
              <w:bidi w:val="0"/>
              <w:snapToGrid/>
              <w:spacing w:beforeLines="0" w:beforeAutospacing="0" w:afterLines="0" w:afterAutospacing="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本项目位于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四川省甘孜藏族自治州甘孜镇斯俄村</w:t>
            </w:r>
            <w:r>
              <w:rPr>
                <w:rFonts w:hint="default" w:ascii="Times New Roman" w:hAnsi="Times New Roman" w:cs="Times New Roman"/>
                <w:color w:val="000000" w:themeColor="text1"/>
                <w:sz w:val="24"/>
                <w:szCs w:val="24"/>
                <w:highlight w:val="none"/>
                <w14:textFill>
                  <w14:solidFill>
                    <w14:schemeClr w14:val="tx1"/>
                  </w14:solidFill>
                </w14:textFill>
              </w:rPr>
              <w:t>，根据现场调查，项目最近敏感点为西侧</w:t>
            </w:r>
            <w:r>
              <w:rPr>
                <w:rFonts w:hint="eastAsia" w:cs="Times New Roman"/>
                <w:color w:val="000000" w:themeColor="text1"/>
                <w:sz w:val="24"/>
                <w:szCs w:val="24"/>
                <w:highlight w:val="none"/>
                <w:lang w:eastAsia="zh-CN"/>
                <w14:textFill>
                  <w14:solidFill>
                    <w14:schemeClr w14:val="tx1"/>
                  </w14:solidFill>
                </w14:textFill>
              </w:rPr>
              <w:t>178</w:t>
            </w:r>
            <w:r>
              <w:rPr>
                <w:rFonts w:hint="default" w:ascii="Times New Roman" w:hAnsi="Times New Roman" w:cs="Times New Roman"/>
                <w:color w:val="000000" w:themeColor="text1"/>
                <w:sz w:val="24"/>
                <w:szCs w:val="24"/>
                <w:highlight w:val="none"/>
                <w14:textFill>
                  <w14:solidFill>
                    <w14:schemeClr w14:val="tx1"/>
                  </w14:solidFill>
                </w14:textFill>
              </w:rPr>
              <w:t>m处的住户，本项目在严格落实大气污染防治措施后，大气污染物排放总量较少，有组织、无组织排放大气污染物均可以满足达标排放要求，建设单位应加强污染治理设施运行管理和维护，避免非正常排放，则运营期对环境空气质量和周边保护目标影响小。</w:t>
            </w:r>
          </w:p>
          <w:p w14:paraId="50C50048">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baseline"/>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2、水污染物产生、排放及治理</w:t>
            </w:r>
          </w:p>
          <w:p w14:paraId="0A5E731D">
            <w:pPr>
              <w:keepLines w:val="0"/>
              <w:pageBreakBefore w:val="0"/>
              <w:kinsoku/>
              <w:bidi w:val="0"/>
              <w:snapToGrid/>
              <w:spacing w:beforeLines="0" w:afterLines="0" w:line="360" w:lineRule="auto"/>
              <w:ind w:firstLine="482" w:firstLineChars="200"/>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（1）废水产生及治理情况</w:t>
            </w:r>
          </w:p>
          <w:p w14:paraId="025E7865">
            <w:pPr>
              <w:keepLines w:val="0"/>
              <w:pageBreakBefore w:val="0"/>
              <w:kinsoku/>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kern w:val="21"/>
                <w:sz w:val="24"/>
                <w:szCs w:val="24"/>
                <w:highlight w:val="none"/>
                <w:lang w:val="en-US" w:eastAsia="zh-CN"/>
                <w14:textFill>
                  <w14:solidFill>
                    <w14:schemeClr w14:val="tx1"/>
                  </w14:solidFill>
                </w14:textFill>
              </w:rPr>
              <w:t>项目用水主要为办公生活用水、食堂用水、产品配比用水、成品罐车清洗用水、运输车辆轮胎冲洗用水、搅拌设备清洗用水、地面冲洗用水、喷雾用水、洒水用水。其中产品配比用水全部金属产品，车辆清洗用水、搅拌设备清洗用水、地面冲洗用水全部回用不外排，抑尘用水蒸发耗散。</w:t>
            </w:r>
          </w:p>
          <w:p w14:paraId="076ED88A">
            <w:pPr>
              <w:keepLines w:val="0"/>
              <w:pageBreakBefore w:val="0"/>
              <w:kinsoku/>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办公生活污水</w:t>
            </w:r>
          </w:p>
          <w:p w14:paraId="5E7810E0">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本项目员工生活污水产生量为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0.612</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183.6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w:t>
            </w:r>
          </w:p>
          <w:p w14:paraId="7C5BA155">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t>生活污水经过厂区</w:t>
            </w:r>
            <w:r>
              <w:rPr>
                <w:rFonts w:hint="eastAsia" w:cs="Times New Roman"/>
                <w:color w:val="000000" w:themeColor="text1"/>
                <w:kern w:val="21"/>
                <w:sz w:val="24"/>
                <w:szCs w:val="24"/>
                <w:highlight w:val="none"/>
                <w:u w:val="single"/>
                <w:lang w:val="en-US" w:eastAsia="zh-CN"/>
                <w14:textFill>
                  <w14:solidFill>
                    <w14:schemeClr w14:val="tx1"/>
                  </w14:solidFill>
                </w14:textFill>
              </w:rPr>
              <w:t>预处理池</w:t>
            </w:r>
            <w:r>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t>处理后通过市政污水管网最终进入甘孜县县城污水处理厂处理达到《城镇污水处理厂污染物排放标准》（GB18918-2002）一级 B 标准进入雅砻江。</w:t>
            </w:r>
          </w:p>
          <w:p w14:paraId="3F1A3308">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食堂</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75309F07">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本项目食堂废水产生量为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0.3825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144.75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m³/a）。</w:t>
            </w:r>
          </w:p>
          <w:p w14:paraId="42ADCDE6">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t>食堂废水经过隔油器隔油处理后，同生活污水一同经过</w:t>
            </w:r>
            <w:r>
              <w:rPr>
                <w:rFonts w:hint="eastAsia" w:cs="Times New Roman"/>
                <w:color w:val="000000" w:themeColor="text1"/>
                <w:kern w:val="21"/>
                <w:sz w:val="24"/>
                <w:szCs w:val="24"/>
                <w:highlight w:val="none"/>
                <w:u w:val="single"/>
                <w:lang w:val="en-US" w:eastAsia="zh-CN"/>
                <w14:textFill>
                  <w14:solidFill>
                    <w14:schemeClr w14:val="tx1"/>
                  </w14:solidFill>
                </w14:textFill>
              </w:rPr>
              <w:t>预处理池</w:t>
            </w:r>
            <w:r>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t>处理后通过市政污水管网最终进入甘孜县县城污水处理厂处理达到《城镇污水处理厂污染物排放标准》（GB18918-2002）一级 B 标准进入雅砻江。</w:t>
            </w:r>
          </w:p>
          <w:p w14:paraId="4606765A">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）产品配比水</w:t>
            </w:r>
          </w:p>
          <w:p w14:paraId="56A3672D">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本项目产品配比水量为26108m³/a，平均每天用水量为87m³/d。</w:t>
            </w:r>
          </w:p>
          <w:p w14:paraId="5D015B22">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项目产品配比用水全部进入最终产品中，不外排。</w:t>
            </w:r>
          </w:p>
          <w:p w14:paraId="2283F916">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4）车辆清洗废水</w:t>
            </w:r>
          </w:p>
          <w:p w14:paraId="249E1BF4">
            <w:pPr>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成品罐车清洗</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4A3990BE">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本项目车辆冲洗废水产生量为8.16m³/d，2448m³/a。</w:t>
            </w:r>
          </w:p>
          <w:p w14:paraId="0F8F27D9">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lang w:val="en-US" w:eastAsia="zh-CN"/>
                <w14:textFill>
                  <w14:solidFill>
                    <w14:schemeClr w14:val="tx1"/>
                  </w14:solidFill>
                </w14:textFill>
              </w:rPr>
              <w:t>成品罐车清洗废水经过厂区内设置的三级沉淀池沉淀后回用生产。</w:t>
            </w:r>
          </w:p>
          <w:p w14:paraId="57313A7E">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运输车辆轮胎冲洗废水</w:t>
            </w:r>
          </w:p>
          <w:p w14:paraId="0A0C97C2">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本项目车辆冲洗废水产生量为0.59m³/d，总产生量约为175.95m³/a。</w:t>
            </w:r>
          </w:p>
          <w:p w14:paraId="0E903EFE">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运输车辆轮胎冲洗废水经过厂区内设置的三级沉淀池沉淀后回用生产。</w:t>
            </w:r>
          </w:p>
          <w:p w14:paraId="5EAC9299">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）搅拌设备清洗</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69D19034">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本项目设备冲洗废水为1.7</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产生量约为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510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p>
          <w:p w14:paraId="481FEADB">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搅拌设备清洗废水经过厂区内设置的三级沉淀池沉淀后回用生产。</w:t>
            </w:r>
          </w:p>
          <w:p w14:paraId="644B2F88">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）地面冲洗</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5AB778F9">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本项目地面冲洗废水产生量约为</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229.5</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p>
          <w:p w14:paraId="1C4E5A85">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地面冲洗废水经过厂区内设置的三级沉淀池沉淀后回用生产。</w:t>
            </w:r>
          </w:p>
          <w:p w14:paraId="71CA3E2C">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7）抑尘废水</w:t>
            </w:r>
          </w:p>
          <w:p w14:paraId="7F044C5F">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喷雾</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5900A376">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本项目喷雾用水量约为2</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600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p>
          <w:p w14:paraId="2ECFC1FC">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喷雾水全部蒸发损耗，此过程无生产废水产生。</w:t>
            </w:r>
          </w:p>
          <w:p w14:paraId="390F4E8E">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洒水</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水</w:t>
            </w:r>
          </w:p>
          <w:p w14:paraId="62EDE008">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洒水用水总量为4.5</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/d（</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1350</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m³</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21"/>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w:t>
            </w:r>
          </w:p>
          <w:p w14:paraId="7809055F">
            <w:pPr>
              <w:keepNext w:val="0"/>
              <w:keepLines w:val="0"/>
              <w:pageBreakBefore w:val="0"/>
              <w:kinsoku/>
              <w:wordWrap/>
              <w:overflowPunct/>
              <w:topLinePunct w:val="0"/>
              <w:bidi w:val="0"/>
              <w:adjustRightInd/>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u w:val="single"/>
                <w14:textFill>
                  <w14:solidFill>
                    <w14:schemeClr w14:val="tx1"/>
                  </w14:solidFill>
                </w14:textFill>
              </w:rPr>
              <w:t>此过程洒水蒸发损耗，无废水产生。</w:t>
            </w:r>
          </w:p>
          <w:p w14:paraId="65129459">
            <w:pPr>
              <w:keepNext w:val="0"/>
              <w:keepLines w:val="0"/>
              <w:pageBreakBefore w:val="0"/>
              <w:widowControl/>
              <w:kinsoku/>
              <w:wordWrap/>
              <w:overflowPunct/>
              <w:topLinePunct w:val="0"/>
              <w:bidi w:val="0"/>
              <w:adjustRightInd/>
              <w:snapToGrid/>
              <w:spacing w:beforeLines="0" w:afterLines="0" w:line="360" w:lineRule="auto"/>
              <w:ind w:firstLine="480" w:firstLineChars="200"/>
              <w:textAlignment w:val="baseline"/>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t>8）初期雨水</w:t>
            </w:r>
          </w:p>
          <w:p w14:paraId="6665E0C9">
            <w:pPr>
              <w:keepNext w:val="0"/>
              <w:keepLines w:val="0"/>
              <w:pageBreakBefore w:val="0"/>
              <w:widowControl/>
              <w:kinsoku/>
              <w:wordWrap/>
              <w:overflowPunct/>
              <w:topLinePunct w:val="0"/>
              <w:bidi w:val="0"/>
              <w:adjustRightInd/>
              <w:snapToGrid/>
              <w:spacing w:beforeLines="0" w:afterLines="0" w:line="360" w:lineRule="auto"/>
              <w:ind w:firstLine="480" w:firstLineChars="200"/>
              <w:textAlignment w:val="baseline"/>
              <w:rPr>
                <w:rFonts w:hint="default" w:ascii="Times New Roman" w:hAnsi="Times New Roman" w:eastAsia="宋体" w:cs="Times New Roman"/>
                <w:b w:val="0"/>
                <w:bCs/>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21"/>
                <w:sz w:val="24"/>
                <w:szCs w:val="24"/>
                <w:highlight w:val="none"/>
                <w:lang w:eastAsia="zh-CN"/>
                <w14:textFill>
                  <w14:solidFill>
                    <w14:schemeClr w14:val="tx1"/>
                  </w14:solidFill>
                </w14:textFill>
              </w:rPr>
              <w:t>项目厂区地面均为水泥硬化地面，贮存及运输过程中可能有各种污染物滴漏、散落在露天场地及路面上，遇雨天形成地表径流，污染物会随流带入周边水体，造成一定的环境污染。</w:t>
            </w:r>
          </w:p>
          <w:p w14:paraId="70ED60B9">
            <w:pPr>
              <w:keepNext w:val="0"/>
              <w:keepLines w:val="0"/>
              <w:pageBreakBefore w:val="0"/>
              <w:widowControl/>
              <w:kinsoku/>
              <w:wordWrap/>
              <w:overflowPunct/>
              <w:topLinePunct w:val="0"/>
              <w:bidi w:val="0"/>
              <w:adjustRightInd/>
              <w:snapToGrid/>
              <w:spacing w:beforeLines="0" w:afterLines="0" w:line="360" w:lineRule="auto"/>
              <w:ind w:firstLine="480" w:firstLineChars="200"/>
              <w:textAlignment w:val="baseline"/>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t>本项目堆场为封闭厂房；加工搅拌区域和厂区道路为露天，因此环评要求建设单位对厂区露天地面初期雨水进行收集处理。根据建设单位提供的平面布置图，项目需要收集处理初期雨水的占地面积约为3000</w:t>
            </w:r>
            <w:r>
              <w:rPr>
                <w:rFonts w:hint="default" w:ascii="Times New Roman" w:hAnsi="Times New Roman" w:cs="Times New Roman"/>
                <w:b w:val="0"/>
                <w:bCs/>
                <w:color w:val="000000" w:themeColor="text1"/>
                <w:kern w:val="2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t>。</w:t>
            </w:r>
          </w:p>
          <w:p w14:paraId="6CC38E83">
            <w:pPr>
              <w:keepNext w:val="0"/>
              <w:keepLines w:val="0"/>
              <w:pageBreakBefore w:val="0"/>
              <w:kinsoku/>
              <w:wordWrap/>
              <w:overflowPunct/>
              <w:topLinePunct w:val="0"/>
              <w:autoSpaceDE w:val="0"/>
              <w:autoSpaceDN w:val="0"/>
              <w:bidi w:val="0"/>
              <w:adjustRightInd/>
              <w:snapToGrid/>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项目雨水量主要与场地范围内的大气降水、汇水面积、径流系数和场地地质条件等因素有关，随季节性变化较大。水量预测按参照以下暴雨强度公式计算：</w:t>
            </w:r>
          </w:p>
          <w:p w14:paraId="31C5703F">
            <w:pPr>
              <w:autoSpaceDE w:val="0"/>
              <w:autoSpaceDN w:val="0"/>
              <w:spacing w:beforeLines="0" w:afterLines="0" w:line="360" w:lineRule="auto"/>
              <w:jc w:val="center"/>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position w:val="-24"/>
                <w:sz w:val="24"/>
                <w:szCs w:val="24"/>
                <w:highlight w:val="none"/>
                <w14:textFill>
                  <w14:solidFill>
                    <w14:schemeClr w14:val="tx1"/>
                  </w14:solidFill>
                </w14:textFill>
              </w:rPr>
              <w:object>
                <v:shape id="_x0000_i1030" o:spt="75" type="#_x0000_t75" style="height:29.85pt;width:120.45pt;" o:ole="t" filled="f" o:preferrelative="t" stroked="f" coordsize="21600,21600">
                  <v:path/>
                  <v:fill on="f" focussize="0,0"/>
                  <v:stroke on="f"/>
                  <v:imagedata r:id="rId28" o:title=""/>
                  <o:lock v:ext="edit" aspectratio="t"/>
                  <w10:wrap type="none"/>
                  <w10:anchorlock/>
                </v:shape>
                <o:OLEObject Type="Embed" ProgID="Equation.KSEE3" ShapeID="_x0000_i1030" DrawAspect="Content" ObjectID="_1468075730" r:id="rId27">
                  <o:LockedField>false</o:LockedField>
                </o:OLEObject>
              </w:object>
            </w:r>
          </w:p>
          <w:p w14:paraId="3A87C347">
            <w:pPr>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式中：q——暴雨强度</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升/秒•公顷</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w:t>
            </w:r>
          </w:p>
          <w:p w14:paraId="38762D23">
            <w:pPr>
              <w:spacing w:beforeLines="0" w:afterLines="0" w:line="360" w:lineRule="auto"/>
              <w:ind w:firstLine="1200" w:firstLineChars="5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P——重现期，取1年；</w:t>
            </w:r>
          </w:p>
          <w:p w14:paraId="3A5688E8">
            <w:pPr>
              <w:spacing w:beforeLines="0" w:afterLines="0" w:line="360" w:lineRule="auto"/>
              <w:ind w:firstLine="1200" w:firstLineChars="5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t——降雨历时，取15min。</w:t>
            </w:r>
          </w:p>
          <w:p w14:paraId="28CA93D0">
            <w:pPr>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根据以上公式计算得q=</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180.1</w:t>
            </w:r>
            <w:r>
              <w:rPr>
                <w:rFonts w:ascii="Times New Roman" w:hAnsi="Times New Roman" w:cs="Times New Roman"/>
                <w:color w:val="000000" w:themeColor="text1"/>
                <w:sz w:val="24"/>
                <w:szCs w:val="24"/>
                <w:highlight w:val="none"/>
                <w14:textFill>
                  <w14:solidFill>
                    <w14:schemeClr w14:val="tx1"/>
                  </w14:solidFill>
                </w14:textFill>
              </w:rPr>
              <w:t>升/秒•公顷</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。项目初期雨水发生量计算公式如下：</w:t>
            </w:r>
          </w:p>
          <w:p w14:paraId="57AEE179">
            <w:pPr>
              <w:autoSpaceDE w:val="0"/>
              <w:autoSpaceDN w:val="0"/>
              <w:spacing w:beforeLines="0" w:afterLines="0" w:line="360" w:lineRule="auto"/>
              <w:jc w:val="center"/>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position w:val="-10"/>
                <w:sz w:val="24"/>
                <w:szCs w:val="24"/>
                <w:highlight w:val="none"/>
                <w14:textFill>
                  <w14:solidFill>
                    <w14:schemeClr w14:val="tx1"/>
                  </w14:solidFill>
                </w14:textFill>
              </w:rPr>
              <w:object>
                <v:shape id="_x0000_i1031" o:spt="75" type="#_x0000_t75" style="height:16pt;width:60pt;" o:ole="t" filled="f" o:preferrelative="t" stroked="f" coordsize="21600,21600">
                  <v:path/>
                  <v:fill on="f" focussize="0,0"/>
                  <v:stroke on="f"/>
                  <v:imagedata r:id="rId30" o:title=""/>
                  <o:lock v:ext="edit" aspectratio="t"/>
                  <w10:wrap type="none"/>
                  <w10:anchorlock/>
                </v:shape>
                <o:OLEObject Type="Embed" ProgID="Equation.KSEE3" ShapeID="_x0000_i1031" DrawAspect="Content" ObjectID="_1468075731" r:id="rId29">
                  <o:LockedField>false</o:LockedField>
                </o:OLEObject>
              </w:object>
            </w:r>
          </w:p>
          <w:p w14:paraId="21391482">
            <w:pPr>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式中：V——径流雨污水发生量</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升/秒</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w:t>
            </w:r>
          </w:p>
          <w:p w14:paraId="5EC59BD9">
            <w:pPr>
              <w:spacing w:beforeLines="0" w:afterLines="0" w:line="360" w:lineRule="auto"/>
              <w:ind w:firstLine="1200" w:firstLineChars="5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ψ——径流系数，该项目取0.9；</w:t>
            </w:r>
          </w:p>
          <w:p w14:paraId="2B0A0688">
            <w:pPr>
              <w:spacing w:beforeLines="0" w:afterLines="0" w:line="360" w:lineRule="auto"/>
              <w:ind w:firstLine="1200" w:firstLineChars="5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q——暴雨强度</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升/秒•公顷</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w:t>
            </w:r>
          </w:p>
          <w:p w14:paraId="0C6805C8">
            <w:pPr>
              <w:keepNext w:val="0"/>
              <w:keepLines w:val="0"/>
              <w:pageBreakBefore w:val="0"/>
              <w:widowControl w:val="0"/>
              <w:kinsoku/>
              <w:wordWrap/>
              <w:overflowPunct/>
              <w:topLinePunct w:val="0"/>
              <w:autoSpaceDE/>
              <w:autoSpaceDN/>
              <w:bidi w:val="0"/>
              <w:adjustRightInd/>
              <w:snapToGrid/>
              <w:spacing w:beforeLines="0" w:afterLines="0" w:line="360" w:lineRule="auto"/>
              <w:ind w:firstLine="1200" w:firstLineChars="5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F</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汇水面积（公顷），该项目为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公顷。</w:t>
            </w:r>
          </w:p>
          <w:p w14:paraId="3F425A36">
            <w:pPr>
              <w:autoSpaceDE w:val="0"/>
              <w:autoSpaceDN w:val="0"/>
              <w:spacing w:beforeLines="0" w:afterLines="0"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根据计算结果可知，</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V=</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48.63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L/s，初期雨水取单次暴雨前15min，则项目单次初期雨水产生量为</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m³/次。</w:t>
            </w:r>
          </w:p>
          <w:p w14:paraId="05797A48">
            <w:pPr>
              <w:keepLines w:val="0"/>
              <w:pageBreakBefore w:val="0"/>
              <w:widowControl/>
              <w:kinsoku/>
              <w:bidi w:val="0"/>
              <w:snapToGrid/>
              <w:spacing w:beforeLines="0" w:afterLines="0" w:line="360" w:lineRule="auto"/>
              <w:ind w:firstLine="480" w:firstLineChars="200"/>
              <w:textAlignment w:val="baseline"/>
              <w:rPr>
                <w:rFonts w:hint="default" w:ascii="Times New Roman" w:hAnsi="Times New Roman" w:eastAsia="宋体" w:cs="Times New Roman"/>
                <w:b w:val="0"/>
                <w:bCs/>
                <w:i w:val="0"/>
                <w:i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1"/>
                <w:sz w:val="24"/>
                <w:szCs w:val="24"/>
                <w:highlight w:val="none"/>
                <w:lang w:val="en-US" w:eastAsia="zh-CN"/>
                <w14:textFill>
                  <w14:solidFill>
                    <w14:schemeClr w14:val="tx1"/>
                  </w14:solidFill>
                </w14:textFill>
              </w:rPr>
              <w:t>因初期雨水年产生次</w:t>
            </w:r>
            <w:r>
              <w:rPr>
                <w:rFonts w:hint="default" w:ascii="Times New Roman" w:hAnsi="Times New Roman" w:eastAsia="宋体" w:cs="Times New Roman"/>
                <w:b w:val="0"/>
                <w:bCs/>
                <w:i w:val="0"/>
                <w:iCs w:val="0"/>
                <w:color w:val="000000" w:themeColor="text1"/>
                <w:kern w:val="21"/>
                <w:sz w:val="24"/>
                <w:szCs w:val="24"/>
                <w:highlight w:val="none"/>
                <w:lang w:val="en-US" w:eastAsia="zh-CN"/>
                <w14:textFill>
                  <w14:solidFill>
                    <w14:schemeClr w14:val="tx1"/>
                  </w14:solidFill>
                </w14:textFill>
              </w:rPr>
              <w:t>数的不确定性，本次评价不计入废水量中，初期雨水主要污染物SS。为满足初期雨水的收集，环评要求项目在生产区周围设置集排水沟（截流沟），并在厂区地势最低处设置一座</w:t>
            </w:r>
            <w:r>
              <w:rPr>
                <w:rFonts w:hint="default" w:ascii="Times New Roman" w:hAnsi="Times New Roman" w:cs="Times New Roman"/>
                <w:b w:val="0"/>
                <w:bCs/>
                <w:i w:val="0"/>
                <w:iCs w:val="0"/>
                <w:color w:val="000000" w:themeColor="text1"/>
                <w:kern w:val="21"/>
                <w:sz w:val="24"/>
                <w:szCs w:val="24"/>
                <w:highlight w:val="none"/>
                <w:lang w:val="en-US" w:eastAsia="zh-CN"/>
                <w14:textFill>
                  <w14:solidFill>
                    <w14:schemeClr w14:val="tx1"/>
                  </w14:solidFill>
                </w14:textFill>
              </w:rPr>
              <w:t>初期雨水池</w:t>
            </w:r>
            <w:r>
              <w:rPr>
                <w:rFonts w:hint="default" w:ascii="Times New Roman" w:hAnsi="Times New Roman" w:eastAsia="宋体" w:cs="Times New Roman"/>
                <w:b w:val="0"/>
                <w:bCs/>
                <w:i w:val="0"/>
                <w:iCs w:val="0"/>
                <w:color w:val="000000" w:themeColor="text1"/>
                <w:kern w:val="21"/>
                <w:sz w:val="24"/>
                <w:szCs w:val="24"/>
                <w:highlight w:val="none"/>
                <w:lang w:val="en-US" w:eastAsia="zh-CN"/>
                <w14:textFill>
                  <w14:solidFill>
                    <w14:schemeClr w14:val="tx1"/>
                  </w14:solidFill>
                </w14:textFill>
              </w:rPr>
              <w:t>（容积</w:t>
            </w:r>
            <w:r>
              <w:rPr>
                <w:rFonts w:hint="default" w:ascii="Times New Roman" w:hAnsi="Times New Roman" w:cs="Times New Roman"/>
                <w:b w:val="0"/>
                <w:bCs/>
                <w:i w:val="0"/>
                <w:iCs w:val="0"/>
                <w:color w:val="000000" w:themeColor="text1"/>
                <w:kern w:val="2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i w:val="0"/>
                <w:iCs w:val="0"/>
                <w:color w:val="000000" w:themeColor="text1"/>
                <w:kern w:val="21"/>
                <w:sz w:val="24"/>
                <w:szCs w:val="24"/>
                <w:highlight w:val="none"/>
                <w:lang w:val="en-US" w:eastAsia="zh-CN"/>
                <w14:textFill>
                  <w14:solidFill>
                    <w14:schemeClr w14:val="tx1"/>
                  </w14:solidFill>
                </w14:textFill>
              </w:rPr>
              <w:t>立方米），暴雨时将初期雨水导入初期雨水池进行沉淀收集处理，初期雨水经水池沉淀处理后回用厂区洒水抑尘。</w:t>
            </w:r>
          </w:p>
          <w:p w14:paraId="3B145500">
            <w:pPr>
              <w:pStyle w:val="3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4-11</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废水产生及处理情况表</w:t>
            </w:r>
          </w:p>
          <w:tbl>
            <w:tblPr>
              <w:tblStyle w:val="35"/>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383"/>
              <w:gridCol w:w="383"/>
              <w:gridCol w:w="383"/>
              <w:gridCol w:w="652"/>
              <w:gridCol w:w="675"/>
              <w:gridCol w:w="596"/>
              <w:gridCol w:w="591"/>
              <w:gridCol w:w="383"/>
              <w:gridCol w:w="411"/>
              <w:gridCol w:w="383"/>
              <w:gridCol w:w="550"/>
              <w:gridCol w:w="383"/>
              <w:gridCol w:w="596"/>
              <w:gridCol w:w="591"/>
              <w:gridCol w:w="597"/>
              <w:gridCol w:w="509"/>
            </w:tblGrid>
            <w:tr w14:paraId="7C71CF2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49" w:hRule="atLeast"/>
                <w:jc w:val="center"/>
              </w:trPr>
              <w:tc>
                <w:tcPr>
                  <w:tcW w:w="231" w:type="pct"/>
                  <w:vMerge w:val="restart"/>
                  <w:tcBorders>
                    <w:tl2br w:val="nil"/>
                    <w:tr2bl w:val="nil"/>
                  </w:tcBorders>
                  <w:shd w:val="clear" w:color="auto" w:fill="auto"/>
                  <w:vAlign w:val="center"/>
                </w:tcPr>
                <w:p w14:paraId="79C633F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231" w:type="pct"/>
                  <w:vMerge w:val="restart"/>
                  <w:tcBorders>
                    <w:tl2br w:val="nil"/>
                    <w:tr2bl w:val="nil"/>
                  </w:tcBorders>
                  <w:shd w:val="clear" w:color="auto" w:fill="auto"/>
                  <w:vAlign w:val="center"/>
                </w:tcPr>
                <w:p w14:paraId="33AA6425">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产污环节</w:t>
                  </w:r>
                </w:p>
              </w:tc>
              <w:tc>
                <w:tcPr>
                  <w:tcW w:w="231" w:type="pct"/>
                  <w:vMerge w:val="restart"/>
                  <w:tcBorders>
                    <w:tl2br w:val="nil"/>
                    <w:tr2bl w:val="nil"/>
                  </w:tcBorders>
                  <w:shd w:val="clear" w:color="auto" w:fill="auto"/>
                  <w:vAlign w:val="center"/>
                </w:tcPr>
                <w:p w14:paraId="081F1CEF">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废水类别</w:t>
                  </w:r>
                </w:p>
              </w:tc>
              <w:tc>
                <w:tcPr>
                  <w:tcW w:w="396" w:type="pct"/>
                  <w:vMerge w:val="restart"/>
                  <w:tcBorders>
                    <w:tl2br w:val="nil"/>
                    <w:tr2bl w:val="nil"/>
                  </w:tcBorders>
                  <w:shd w:val="clear" w:color="auto" w:fill="auto"/>
                  <w:vAlign w:val="center"/>
                </w:tcPr>
                <w:p w14:paraId="0C13495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污染物种类</w:t>
                  </w:r>
                </w:p>
              </w:tc>
              <w:tc>
                <w:tcPr>
                  <w:tcW w:w="1146" w:type="pct"/>
                  <w:gridSpan w:val="3"/>
                  <w:tcBorders>
                    <w:tl2br w:val="nil"/>
                    <w:tr2bl w:val="nil"/>
                  </w:tcBorders>
                  <w:shd w:val="clear" w:color="auto" w:fill="auto"/>
                  <w:vAlign w:val="center"/>
                </w:tcPr>
                <w:p w14:paraId="7939AFDF">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污染物产生情况</w:t>
                  </w:r>
                </w:p>
              </w:tc>
              <w:tc>
                <w:tcPr>
                  <w:tcW w:w="1090" w:type="pct"/>
                  <w:gridSpan w:val="4"/>
                  <w:tcBorders>
                    <w:tl2br w:val="nil"/>
                    <w:tr2bl w:val="nil"/>
                  </w:tcBorders>
                  <w:shd w:val="clear" w:color="auto" w:fill="auto"/>
                  <w:vAlign w:val="center"/>
                </w:tcPr>
                <w:p w14:paraId="4862B89B">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治理设施</w:t>
                  </w:r>
                </w:p>
              </w:tc>
              <w:tc>
                <w:tcPr>
                  <w:tcW w:w="976" w:type="pct"/>
                  <w:gridSpan w:val="3"/>
                  <w:tcBorders>
                    <w:tl2br w:val="nil"/>
                    <w:tr2bl w:val="nil"/>
                  </w:tcBorders>
                  <w:shd w:val="clear" w:color="auto" w:fill="auto"/>
                  <w:vAlign w:val="center"/>
                </w:tcPr>
                <w:p w14:paraId="4A2E0FD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项目排污口污染物排放情况</w:t>
                  </w:r>
                </w:p>
              </w:tc>
              <w:tc>
                <w:tcPr>
                  <w:tcW w:w="696" w:type="pct"/>
                  <w:gridSpan w:val="2"/>
                  <w:tcBorders>
                    <w:tl2br w:val="nil"/>
                    <w:tr2bl w:val="nil"/>
                  </w:tcBorders>
                  <w:shd w:val="clear" w:color="auto" w:fill="auto"/>
                  <w:vAlign w:val="center"/>
                </w:tcPr>
                <w:p w14:paraId="6FA4E74C">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污水处理厂污染物排放情况</w:t>
                  </w:r>
                </w:p>
              </w:tc>
            </w:tr>
            <w:tr w14:paraId="4827F4C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49" w:hRule="atLeast"/>
                <w:jc w:val="center"/>
              </w:trPr>
              <w:tc>
                <w:tcPr>
                  <w:tcW w:w="231" w:type="pct"/>
                  <w:vMerge w:val="continue"/>
                  <w:tcBorders>
                    <w:tl2br w:val="nil"/>
                    <w:tr2bl w:val="nil"/>
                  </w:tcBorders>
                  <w:shd w:val="clear" w:color="auto" w:fill="auto"/>
                  <w:vAlign w:val="center"/>
                </w:tcPr>
                <w:p w14:paraId="4CC1CAFC">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7C9958E8">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61CB6557">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96" w:type="pct"/>
                  <w:vMerge w:val="continue"/>
                  <w:tcBorders>
                    <w:tl2br w:val="nil"/>
                    <w:tr2bl w:val="nil"/>
                  </w:tcBorders>
                  <w:shd w:val="clear" w:color="auto" w:fill="auto"/>
                  <w:vAlign w:val="center"/>
                </w:tcPr>
                <w:p w14:paraId="3FBF86B5">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401" w:type="pct"/>
                  <w:vMerge w:val="restart"/>
                  <w:tcBorders>
                    <w:tl2br w:val="nil"/>
                    <w:tr2bl w:val="nil"/>
                  </w:tcBorders>
                  <w:shd w:val="clear" w:color="auto" w:fill="auto"/>
                  <w:vAlign w:val="center"/>
                </w:tcPr>
                <w:p w14:paraId="0ABF4A9A">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废水量</w:t>
                  </w:r>
                  <w:r>
                    <w:rPr>
                      <w:rStyle w:val="108"/>
                      <w:rFonts w:eastAsia="宋体"/>
                      <w:color w:val="000000" w:themeColor="text1"/>
                      <w:highlight w:val="none"/>
                      <w:lang w:val="en-US" w:eastAsia="zh-CN" w:bidi="ar"/>
                      <w14:textFill>
                        <w14:solidFill>
                          <w14:schemeClr w14:val="tx1"/>
                        </w14:solidFill>
                      </w14:textFill>
                    </w:rPr>
                    <w:t>t/a</w:t>
                  </w:r>
                </w:p>
              </w:tc>
              <w:tc>
                <w:tcPr>
                  <w:tcW w:w="392" w:type="pct"/>
                  <w:vMerge w:val="restart"/>
                  <w:tcBorders>
                    <w:tl2br w:val="nil"/>
                    <w:tr2bl w:val="nil"/>
                  </w:tcBorders>
                  <w:shd w:val="clear" w:color="auto" w:fill="auto"/>
                  <w:vAlign w:val="center"/>
                </w:tcPr>
                <w:p w14:paraId="32838BCC">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浓度</w:t>
                  </w:r>
                  <w:r>
                    <w:rPr>
                      <w:rStyle w:val="108"/>
                      <w:rFonts w:eastAsia="宋体"/>
                      <w:color w:val="000000" w:themeColor="text1"/>
                      <w:highlight w:val="none"/>
                      <w:lang w:val="en-US" w:eastAsia="zh-CN" w:bidi="ar"/>
                      <w14:textFill>
                        <w14:solidFill>
                          <w14:schemeClr w14:val="tx1"/>
                        </w14:solidFill>
                      </w14:textFill>
                    </w:rPr>
                    <w:t>mg/L</w:t>
                  </w:r>
                </w:p>
              </w:tc>
              <w:tc>
                <w:tcPr>
                  <w:tcW w:w="352" w:type="pct"/>
                  <w:vMerge w:val="restart"/>
                  <w:tcBorders>
                    <w:tl2br w:val="nil"/>
                    <w:tr2bl w:val="nil"/>
                  </w:tcBorders>
                  <w:shd w:val="clear" w:color="auto" w:fill="auto"/>
                  <w:vAlign w:val="center"/>
                </w:tcPr>
                <w:p w14:paraId="3FA564F8">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产生量</w:t>
                  </w:r>
                  <w:r>
                    <w:rPr>
                      <w:rStyle w:val="108"/>
                      <w:rFonts w:eastAsia="宋体"/>
                      <w:color w:val="000000" w:themeColor="text1"/>
                      <w:highlight w:val="none"/>
                      <w:lang w:val="en-US" w:eastAsia="zh-CN" w:bidi="ar"/>
                      <w14:textFill>
                        <w14:solidFill>
                          <w14:schemeClr w14:val="tx1"/>
                        </w14:solidFill>
                      </w14:textFill>
                    </w:rPr>
                    <w:t>t/a</w:t>
                  </w:r>
                </w:p>
              </w:tc>
              <w:tc>
                <w:tcPr>
                  <w:tcW w:w="231" w:type="pct"/>
                  <w:vMerge w:val="restart"/>
                  <w:tcBorders>
                    <w:tl2br w:val="nil"/>
                    <w:tr2bl w:val="nil"/>
                  </w:tcBorders>
                  <w:shd w:val="clear" w:color="auto" w:fill="auto"/>
                  <w:vAlign w:val="center"/>
                </w:tcPr>
                <w:p w14:paraId="7DACE28C">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设施名称</w:t>
                  </w:r>
                </w:p>
              </w:tc>
              <w:tc>
                <w:tcPr>
                  <w:tcW w:w="266" w:type="pct"/>
                  <w:vMerge w:val="restart"/>
                  <w:tcBorders>
                    <w:tl2br w:val="nil"/>
                    <w:tr2bl w:val="nil"/>
                  </w:tcBorders>
                  <w:shd w:val="clear" w:color="auto" w:fill="auto"/>
                  <w:vAlign w:val="center"/>
                </w:tcPr>
                <w:p w14:paraId="3196769E">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处理能力</w:t>
                  </w:r>
                  <w:r>
                    <w:rPr>
                      <w:rStyle w:val="108"/>
                      <w:rFonts w:eastAsia="宋体"/>
                      <w:color w:val="000000" w:themeColor="text1"/>
                      <w:highlight w:val="none"/>
                      <w:lang w:val="en-US" w:eastAsia="zh-CN" w:bidi="ar"/>
                      <w14:textFill>
                        <w14:solidFill>
                          <w14:schemeClr w14:val="tx1"/>
                        </w14:solidFill>
                      </w14:textFill>
                    </w:rPr>
                    <w:t>t/d</w:t>
                  </w:r>
                </w:p>
              </w:tc>
              <w:tc>
                <w:tcPr>
                  <w:tcW w:w="247" w:type="pct"/>
                  <w:vMerge w:val="restart"/>
                  <w:tcBorders>
                    <w:tl2br w:val="nil"/>
                    <w:tr2bl w:val="nil"/>
                  </w:tcBorders>
                  <w:shd w:val="clear" w:color="auto" w:fill="auto"/>
                  <w:vAlign w:val="center"/>
                </w:tcPr>
                <w:p w14:paraId="3BD61E7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治理工艺</w:t>
                  </w:r>
                </w:p>
              </w:tc>
              <w:tc>
                <w:tcPr>
                  <w:tcW w:w="344" w:type="pct"/>
                  <w:vMerge w:val="restart"/>
                  <w:tcBorders>
                    <w:tl2br w:val="nil"/>
                    <w:tr2bl w:val="nil"/>
                  </w:tcBorders>
                  <w:shd w:val="clear" w:color="auto" w:fill="auto"/>
                  <w:vAlign w:val="center"/>
                </w:tcPr>
                <w:p w14:paraId="340BED52">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治理效率</w:t>
                  </w:r>
                  <w:r>
                    <w:rPr>
                      <w:rStyle w:val="108"/>
                      <w:rFonts w:eastAsia="宋体"/>
                      <w:color w:val="000000" w:themeColor="text1"/>
                      <w:highlight w:val="none"/>
                      <w:lang w:val="en-US" w:eastAsia="zh-CN" w:bidi="ar"/>
                      <w14:textFill>
                        <w14:solidFill>
                          <w14:schemeClr w14:val="tx1"/>
                        </w14:solidFill>
                      </w14:textFill>
                    </w:rPr>
                    <w:t>%</w:t>
                  </w:r>
                </w:p>
              </w:tc>
              <w:tc>
                <w:tcPr>
                  <w:tcW w:w="231" w:type="pct"/>
                  <w:vMerge w:val="restart"/>
                  <w:tcBorders>
                    <w:tl2br w:val="nil"/>
                    <w:tr2bl w:val="nil"/>
                  </w:tcBorders>
                  <w:shd w:val="clear" w:color="auto" w:fill="auto"/>
                  <w:vAlign w:val="center"/>
                </w:tcPr>
                <w:p w14:paraId="0C919685">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是否为可行技术</w:t>
                  </w:r>
                </w:p>
              </w:tc>
              <w:tc>
                <w:tcPr>
                  <w:tcW w:w="392" w:type="pct"/>
                  <w:vMerge w:val="restart"/>
                  <w:tcBorders>
                    <w:tl2br w:val="nil"/>
                    <w:tr2bl w:val="nil"/>
                  </w:tcBorders>
                  <w:shd w:val="clear" w:color="auto" w:fill="auto"/>
                  <w:vAlign w:val="center"/>
                </w:tcPr>
                <w:p w14:paraId="33A7312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排放浓度</w:t>
                  </w:r>
                  <w:r>
                    <w:rPr>
                      <w:rStyle w:val="108"/>
                      <w:rFonts w:eastAsia="宋体"/>
                      <w:color w:val="000000" w:themeColor="text1"/>
                      <w:highlight w:val="none"/>
                      <w:lang w:val="en-US" w:eastAsia="zh-CN" w:bidi="ar"/>
                      <w14:textFill>
                        <w14:solidFill>
                          <w14:schemeClr w14:val="tx1"/>
                        </w14:solidFill>
                      </w14:textFill>
                    </w:rPr>
                    <w:t>mg/L</w:t>
                  </w:r>
                </w:p>
              </w:tc>
              <w:tc>
                <w:tcPr>
                  <w:tcW w:w="352" w:type="pct"/>
                  <w:tcBorders>
                    <w:tl2br w:val="nil"/>
                    <w:tr2bl w:val="nil"/>
                  </w:tcBorders>
                  <w:shd w:val="clear" w:color="auto" w:fill="auto"/>
                  <w:vAlign w:val="center"/>
                </w:tcPr>
                <w:p w14:paraId="0DEFA4C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排放量</w:t>
                  </w:r>
                </w:p>
              </w:tc>
              <w:tc>
                <w:tcPr>
                  <w:tcW w:w="392" w:type="pct"/>
                  <w:vMerge w:val="restart"/>
                  <w:tcBorders>
                    <w:tl2br w:val="nil"/>
                    <w:tr2bl w:val="nil"/>
                  </w:tcBorders>
                  <w:shd w:val="clear" w:color="auto" w:fill="auto"/>
                  <w:vAlign w:val="center"/>
                </w:tcPr>
                <w:p w14:paraId="1B9BB5E9">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排放浓度</w:t>
                  </w:r>
                  <w:r>
                    <w:rPr>
                      <w:rStyle w:val="108"/>
                      <w:rFonts w:eastAsia="宋体"/>
                      <w:color w:val="000000" w:themeColor="text1"/>
                      <w:highlight w:val="none"/>
                      <w:lang w:val="en-US" w:eastAsia="zh-CN" w:bidi="ar"/>
                      <w14:textFill>
                        <w14:solidFill>
                          <w14:schemeClr w14:val="tx1"/>
                        </w14:solidFill>
                      </w14:textFill>
                    </w:rPr>
                    <w:t>mg/L</w:t>
                  </w:r>
                </w:p>
              </w:tc>
              <w:tc>
                <w:tcPr>
                  <w:tcW w:w="303" w:type="pct"/>
                  <w:tcBorders>
                    <w:tl2br w:val="nil"/>
                    <w:tr2bl w:val="nil"/>
                  </w:tcBorders>
                  <w:shd w:val="clear" w:color="auto" w:fill="auto"/>
                  <w:vAlign w:val="center"/>
                </w:tcPr>
                <w:p w14:paraId="5AB6D1A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排放量</w:t>
                  </w:r>
                </w:p>
              </w:tc>
            </w:tr>
            <w:tr w14:paraId="090DC71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41" w:hRule="atLeast"/>
                <w:jc w:val="center"/>
              </w:trPr>
              <w:tc>
                <w:tcPr>
                  <w:tcW w:w="231" w:type="pct"/>
                  <w:vMerge w:val="continue"/>
                  <w:tcBorders>
                    <w:tl2br w:val="nil"/>
                    <w:tr2bl w:val="nil"/>
                  </w:tcBorders>
                  <w:shd w:val="clear" w:color="auto" w:fill="auto"/>
                  <w:vAlign w:val="center"/>
                </w:tcPr>
                <w:p w14:paraId="237989E6">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1C00A497">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26302F86">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96" w:type="pct"/>
                  <w:vMerge w:val="continue"/>
                  <w:tcBorders>
                    <w:tl2br w:val="nil"/>
                    <w:tr2bl w:val="nil"/>
                  </w:tcBorders>
                  <w:shd w:val="clear" w:color="auto" w:fill="auto"/>
                  <w:vAlign w:val="center"/>
                </w:tcPr>
                <w:p w14:paraId="235D291E">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401" w:type="pct"/>
                  <w:vMerge w:val="continue"/>
                  <w:tcBorders>
                    <w:tl2br w:val="nil"/>
                    <w:tr2bl w:val="nil"/>
                  </w:tcBorders>
                  <w:shd w:val="clear" w:color="auto" w:fill="auto"/>
                  <w:vAlign w:val="center"/>
                </w:tcPr>
                <w:p w14:paraId="21ECE536">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92" w:type="pct"/>
                  <w:vMerge w:val="continue"/>
                  <w:tcBorders>
                    <w:tl2br w:val="nil"/>
                    <w:tr2bl w:val="nil"/>
                  </w:tcBorders>
                  <w:shd w:val="clear" w:color="auto" w:fill="auto"/>
                  <w:vAlign w:val="center"/>
                </w:tcPr>
                <w:p w14:paraId="0E4EB6F3">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52" w:type="pct"/>
                  <w:vMerge w:val="continue"/>
                  <w:tcBorders>
                    <w:tl2br w:val="nil"/>
                    <w:tr2bl w:val="nil"/>
                  </w:tcBorders>
                  <w:shd w:val="clear" w:color="auto" w:fill="auto"/>
                  <w:vAlign w:val="center"/>
                </w:tcPr>
                <w:p w14:paraId="0573EF61">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2C50A685">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66" w:type="pct"/>
                  <w:vMerge w:val="continue"/>
                  <w:tcBorders>
                    <w:tl2br w:val="nil"/>
                    <w:tr2bl w:val="nil"/>
                  </w:tcBorders>
                  <w:shd w:val="clear" w:color="auto" w:fill="auto"/>
                  <w:vAlign w:val="center"/>
                </w:tcPr>
                <w:p w14:paraId="2341A6AE">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47" w:type="pct"/>
                  <w:vMerge w:val="continue"/>
                  <w:tcBorders>
                    <w:tl2br w:val="nil"/>
                    <w:tr2bl w:val="nil"/>
                  </w:tcBorders>
                  <w:shd w:val="clear" w:color="auto" w:fill="auto"/>
                  <w:vAlign w:val="center"/>
                </w:tcPr>
                <w:p w14:paraId="2AF42604">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44" w:type="pct"/>
                  <w:vMerge w:val="continue"/>
                  <w:tcBorders>
                    <w:tl2br w:val="nil"/>
                    <w:tr2bl w:val="nil"/>
                  </w:tcBorders>
                  <w:shd w:val="clear" w:color="auto" w:fill="auto"/>
                  <w:vAlign w:val="center"/>
                </w:tcPr>
                <w:p w14:paraId="0FED79B1">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4EA8A0D4">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92" w:type="pct"/>
                  <w:vMerge w:val="continue"/>
                  <w:tcBorders>
                    <w:tl2br w:val="nil"/>
                    <w:tr2bl w:val="nil"/>
                  </w:tcBorders>
                  <w:shd w:val="clear" w:color="auto" w:fill="auto"/>
                  <w:vAlign w:val="center"/>
                </w:tcPr>
                <w:p w14:paraId="07A12DCD">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52" w:type="pct"/>
                  <w:tcBorders>
                    <w:tl2br w:val="nil"/>
                    <w:tr2bl w:val="nil"/>
                  </w:tcBorders>
                  <w:shd w:val="clear" w:color="auto" w:fill="auto"/>
                  <w:vAlign w:val="center"/>
                </w:tcPr>
                <w:p w14:paraId="4799E5A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c>
                <w:tcPr>
                  <w:tcW w:w="392" w:type="pct"/>
                  <w:vMerge w:val="continue"/>
                  <w:tcBorders>
                    <w:tl2br w:val="nil"/>
                    <w:tr2bl w:val="nil"/>
                  </w:tcBorders>
                  <w:shd w:val="clear" w:color="auto" w:fill="auto"/>
                  <w:vAlign w:val="center"/>
                </w:tcPr>
                <w:p w14:paraId="3FE42EC8">
                  <w:pPr>
                    <w:jc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p>
              </w:tc>
              <w:tc>
                <w:tcPr>
                  <w:tcW w:w="303" w:type="pct"/>
                  <w:tcBorders>
                    <w:tl2br w:val="nil"/>
                    <w:tr2bl w:val="nil"/>
                  </w:tcBorders>
                  <w:shd w:val="clear" w:color="auto" w:fill="auto"/>
                  <w:vAlign w:val="center"/>
                </w:tcPr>
                <w:p w14:paraId="6102D7F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t/a</w:t>
                  </w:r>
                </w:p>
              </w:tc>
            </w:tr>
            <w:tr w14:paraId="56A9883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0" w:hRule="atLeast"/>
                <w:jc w:val="center"/>
              </w:trPr>
              <w:tc>
                <w:tcPr>
                  <w:tcW w:w="231" w:type="pct"/>
                  <w:vMerge w:val="restart"/>
                  <w:tcBorders>
                    <w:tl2br w:val="nil"/>
                    <w:tr2bl w:val="nil"/>
                  </w:tcBorders>
                  <w:shd w:val="clear" w:color="auto" w:fill="auto"/>
                  <w:vAlign w:val="center"/>
                </w:tcPr>
                <w:p w14:paraId="23B106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31" w:type="pct"/>
                  <w:vMerge w:val="restart"/>
                  <w:tcBorders>
                    <w:tl2br w:val="nil"/>
                    <w:tr2bl w:val="nil"/>
                  </w:tcBorders>
                  <w:shd w:val="clear" w:color="auto" w:fill="auto"/>
                  <w:vAlign w:val="center"/>
                </w:tcPr>
                <w:p w14:paraId="011337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员工办公</w:t>
                  </w:r>
                </w:p>
              </w:tc>
              <w:tc>
                <w:tcPr>
                  <w:tcW w:w="231" w:type="pct"/>
                  <w:vMerge w:val="restart"/>
                  <w:tcBorders>
                    <w:tl2br w:val="nil"/>
                    <w:tr2bl w:val="nil"/>
                  </w:tcBorders>
                  <w:shd w:val="clear" w:color="auto" w:fill="auto"/>
                  <w:vAlign w:val="center"/>
                </w:tcPr>
                <w:p w14:paraId="72DD965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生活污水</w:t>
                  </w:r>
                </w:p>
              </w:tc>
              <w:tc>
                <w:tcPr>
                  <w:tcW w:w="396" w:type="pct"/>
                  <w:tcBorders>
                    <w:tl2br w:val="nil"/>
                    <w:tr2bl w:val="nil"/>
                  </w:tcBorders>
                  <w:shd w:val="clear" w:color="auto" w:fill="auto"/>
                  <w:vAlign w:val="center"/>
                </w:tcPr>
                <w:p w14:paraId="0E822F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r>
                    <w:rPr>
                      <w:rStyle w:val="109"/>
                      <w:color w:val="000000" w:themeColor="text1"/>
                      <w:highlight w:val="none"/>
                      <w:lang w:val="en-US" w:eastAsia="zh-CN" w:bidi="ar"/>
                      <w14:textFill>
                        <w14:solidFill>
                          <w14:schemeClr w14:val="tx1"/>
                        </w14:solidFill>
                      </w14:textFill>
                    </w:rPr>
                    <w:t>值</w:t>
                  </w:r>
                </w:p>
              </w:tc>
              <w:tc>
                <w:tcPr>
                  <w:tcW w:w="401" w:type="pct"/>
                  <w:vMerge w:val="restart"/>
                  <w:tcBorders>
                    <w:tl2br w:val="nil"/>
                    <w:tr2bl w:val="nil"/>
                  </w:tcBorders>
                  <w:shd w:val="clear" w:color="auto" w:fill="auto"/>
                  <w:vAlign w:val="center"/>
                </w:tcPr>
                <w:p w14:paraId="703A20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298.35</w:t>
                  </w:r>
                </w:p>
              </w:tc>
              <w:tc>
                <w:tcPr>
                  <w:tcW w:w="392" w:type="pct"/>
                  <w:tcBorders>
                    <w:tl2br w:val="nil"/>
                    <w:tr2bl w:val="nil"/>
                  </w:tcBorders>
                  <w:shd w:val="clear" w:color="auto" w:fill="auto"/>
                  <w:vAlign w:val="center"/>
                </w:tcPr>
                <w:p w14:paraId="4C83FF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52" w:type="pct"/>
                  <w:tcBorders>
                    <w:tl2br w:val="nil"/>
                    <w:tr2bl w:val="nil"/>
                  </w:tcBorders>
                  <w:shd w:val="clear" w:color="auto" w:fill="auto"/>
                  <w:vAlign w:val="center"/>
                </w:tcPr>
                <w:p w14:paraId="46F210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1" w:type="pct"/>
                  <w:vMerge w:val="restart"/>
                  <w:tcBorders>
                    <w:tl2br w:val="nil"/>
                    <w:tr2bl w:val="nil"/>
                  </w:tcBorders>
                  <w:shd w:val="clear" w:color="auto" w:fill="auto"/>
                  <w:vAlign w:val="center"/>
                </w:tcPr>
                <w:p w14:paraId="14B70FD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污水预处理池</w:t>
                  </w:r>
                </w:p>
              </w:tc>
              <w:tc>
                <w:tcPr>
                  <w:tcW w:w="266" w:type="pct"/>
                  <w:vMerge w:val="restart"/>
                  <w:tcBorders>
                    <w:tl2br w:val="nil"/>
                    <w:tr2bl w:val="nil"/>
                  </w:tcBorders>
                  <w:shd w:val="clear" w:color="auto" w:fill="auto"/>
                  <w:vAlign w:val="center"/>
                </w:tcPr>
                <w:p w14:paraId="0C7C3C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47" w:type="pct"/>
                  <w:vMerge w:val="restart"/>
                  <w:tcBorders>
                    <w:tl2br w:val="nil"/>
                    <w:tr2bl w:val="nil"/>
                  </w:tcBorders>
                  <w:shd w:val="clear" w:color="auto" w:fill="auto"/>
                  <w:vAlign w:val="center"/>
                </w:tcPr>
                <w:p w14:paraId="04DE8AD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厌氧</w:t>
                  </w:r>
                  <w:r>
                    <w:rPr>
                      <w:rStyle w:val="110"/>
                      <w:rFonts w:eastAsia="宋体"/>
                      <w:color w:val="000000" w:themeColor="text1"/>
                      <w:highlight w:val="none"/>
                      <w:lang w:val="en-US" w:eastAsia="zh-CN" w:bidi="ar"/>
                      <w14:textFill>
                        <w14:solidFill>
                          <w14:schemeClr w14:val="tx1"/>
                        </w14:solidFill>
                      </w14:textFill>
                    </w:rPr>
                    <w:t>+</w:t>
                  </w:r>
                  <w:r>
                    <w:rPr>
                      <w:rStyle w:val="109"/>
                      <w:color w:val="000000" w:themeColor="text1"/>
                      <w:highlight w:val="none"/>
                      <w:lang w:val="en-US" w:eastAsia="zh-CN" w:bidi="ar"/>
                      <w14:textFill>
                        <w14:solidFill>
                          <w14:schemeClr w14:val="tx1"/>
                        </w14:solidFill>
                      </w14:textFill>
                    </w:rPr>
                    <w:t>沉淀</w:t>
                  </w:r>
                </w:p>
              </w:tc>
              <w:tc>
                <w:tcPr>
                  <w:tcW w:w="344" w:type="pct"/>
                  <w:tcBorders>
                    <w:tl2br w:val="nil"/>
                    <w:tr2bl w:val="nil"/>
                  </w:tcBorders>
                  <w:shd w:val="clear" w:color="auto" w:fill="auto"/>
                  <w:vAlign w:val="center"/>
                </w:tcPr>
                <w:p w14:paraId="5C4959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31" w:type="pct"/>
                  <w:vMerge w:val="restart"/>
                  <w:tcBorders>
                    <w:tl2br w:val="nil"/>
                    <w:tr2bl w:val="nil"/>
                  </w:tcBorders>
                  <w:shd w:val="clear" w:color="auto" w:fill="auto"/>
                  <w:vAlign w:val="center"/>
                </w:tcPr>
                <w:p w14:paraId="2270D7D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是</w:t>
                  </w:r>
                </w:p>
              </w:tc>
              <w:tc>
                <w:tcPr>
                  <w:tcW w:w="392" w:type="pct"/>
                  <w:tcBorders>
                    <w:tl2br w:val="nil"/>
                    <w:tr2bl w:val="nil"/>
                  </w:tcBorders>
                  <w:shd w:val="clear" w:color="auto" w:fill="auto"/>
                  <w:vAlign w:val="center"/>
                </w:tcPr>
                <w:p w14:paraId="550D4C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52" w:type="pct"/>
                  <w:tcBorders>
                    <w:tl2br w:val="nil"/>
                    <w:tr2bl w:val="nil"/>
                  </w:tcBorders>
                  <w:shd w:val="clear" w:color="auto" w:fill="auto"/>
                  <w:vAlign w:val="center"/>
                </w:tcPr>
                <w:p w14:paraId="4698A8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92" w:type="pct"/>
                  <w:tcBorders>
                    <w:tl2br w:val="nil"/>
                    <w:tr2bl w:val="nil"/>
                  </w:tcBorders>
                  <w:shd w:val="clear" w:color="auto" w:fill="auto"/>
                  <w:vAlign w:val="center"/>
                </w:tcPr>
                <w:p w14:paraId="1008C8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03" w:type="pct"/>
                  <w:tcBorders>
                    <w:tl2br w:val="nil"/>
                    <w:tr2bl w:val="nil"/>
                  </w:tcBorders>
                  <w:shd w:val="clear" w:color="auto" w:fill="auto"/>
                  <w:vAlign w:val="center"/>
                </w:tcPr>
                <w:p w14:paraId="70CEC0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1E8B3C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49" w:hRule="atLeast"/>
                <w:jc w:val="center"/>
              </w:trPr>
              <w:tc>
                <w:tcPr>
                  <w:tcW w:w="231" w:type="pct"/>
                  <w:vMerge w:val="continue"/>
                  <w:tcBorders>
                    <w:tl2br w:val="nil"/>
                    <w:tr2bl w:val="nil"/>
                  </w:tcBorders>
                  <w:shd w:val="clear" w:color="auto" w:fill="auto"/>
                  <w:vAlign w:val="center"/>
                </w:tcPr>
                <w:p w14:paraId="7B3FDBE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4A67556F">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50229D43">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6" w:type="pct"/>
                  <w:tcBorders>
                    <w:tl2br w:val="nil"/>
                    <w:tr2bl w:val="nil"/>
                  </w:tcBorders>
                  <w:shd w:val="clear" w:color="auto" w:fill="auto"/>
                  <w:vAlign w:val="center"/>
                </w:tcPr>
                <w:p w14:paraId="6A963B8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化学需氧量</w:t>
                  </w:r>
                </w:p>
              </w:tc>
              <w:tc>
                <w:tcPr>
                  <w:tcW w:w="401" w:type="pct"/>
                  <w:vMerge w:val="continue"/>
                  <w:tcBorders>
                    <w:tl2br w:val="nil"/>
                    <w:tr2bl w:val="nil"/>
                  </w:tcBorders>
                  <w:shd w:val="clear" w:color="auto" w:fill="auto"/>
                  <w:vAlign w:val="center"/>
                </w:tcPr>
                <w:p w14:paraId="450490D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748866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c>
                <w:tcPr>
                  <w:tcW w:w="352" w:type="pct"/>
                  <w:tcBorders>
                    <w:tl2br w:val="nil"/>
                    <w:tr2bl w:val="nil"/>
                  </w:tcBorders>
                  <w:shd w:val="clear" w:color="auto" w:fill="auto"/>
                  <w:vAlign w:val="center"/>
                </w:tcPr>
                <w:p w14:paraId="0DAE50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17.9</w:t>
                  </w:r>
                </w:p>
              </w:tc>
              <w:tc>
                <w:tcPr>
                  <w:tcW w:w="231" w:type="pct"/>
                  <w:vMerge w:val="continue"/>
                  <w:tcBorders>
                    <w:tl2br w:val="nil"/>
                    <w:tr2bl w:val="nil"/>
                  </w:tcBorders>
                  <w:shd w:val="clear" w:color="auto" w:fill="auto"/>
                  <w:vAlign w:val="center"/>
                </w:tcPr>
                <w:p w14:paraId="53B81FB2">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66" w:type="pct"/>
                  <w:vMerge w:val="continue"/>
                  <w:tcBorders>
                    <w:tl2br w:val="nil"/>
                    <w:tr2bl w:val="nil"/>
                  </w:tcBorders>
                  <w:shd w:val="clear" w:color="auto" w:fill="auto"/>
                  <w:vAlign w:val="center"/>
                </w:tcPr>
                <w:p w14:paraId="1B33CD3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7" w:type="pct"/>
                  <w:vMerge w:val="continue"/>
                  <w:tcBorders>
                    <w:tl2br w:val="nil"/>
                    <w:tr2bl w:val="nil"/>
                  </w:tcBorders>
                  <w:shd w:val="clear" w:color="auto" w:fill="auto"/>
                  <w:vAlign w:val="center"/>
                </w:tcPr>
                <w:p w14:paraId="55DB5A9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44" w:type="pct"/>
                  <w:tcBorders>
                    <w:tl2br w:val="nil"/>
                    <w:tr2bl w:val="nil"/>
                  </w:tcBorders>
                  <w:shd w:val="clear" w:color="auto" w:fill="auto"/>
                  <w:vAlign w:val="center"/>
                </w:tcPr>
                <w:p w14:paraId="07F6D6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231" w:type="pct"/>
                  <w:vMerge w:val="continue"/>
                  <w:tcBorders>
                    <w:tl2br w:val="nil"/>
                    <w:tr2bl w:val="nil"/>
                  </w:tcBorders>
                  <w:shd w:val="clear" w:color="auto" w:fill="auto"/>
                  <w:vAlign w:val="center"/>
                </w:tcPr>
                <w:p w14:paraId="7E7D9E26">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4D0A0D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352" w:type="pct"/>
                  <w:tcBorders>
                    <w:tl2br w:val="nil"/>
                    <w:tr2bl w:val="nil"/>
                  </w:tcBorders>
                  <w:shd w:val="clear" w:color="auto" w:fill="auto"/>
                  <w:vAlign w:val="center"/>
                </w:tcPr>
                <w:p w14:paraId="77CBDA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14.92</w:t>
                  </w:r>
                </w:p>
              </w:tc>
              <w:tc>
                <w:tcPr>
                  <w:tcW w:w="392" w:type="pct"/>
                  <w:tcBorders>
                    <w:tl2br w:val="nil"/>
                    <w:tr2bl w:val="nil"/>
                  </w:tcBorders>
                  <w:shd w:val="clear" w:color="auto" w:fill="auto"/>
                  <w:vAlign w:val="center"/>
                </w:tcPr>
                <w:p w14:paraId="61C665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03" w:type="pct"/>
                  <w:tcBorders>
                    <w:tl2br w:val="nil"/>
                    <w:tr2bl w:val="nil"/>
                  </w:tcBorders>
                  <w:shd w:val="clear" w:color="auto" w:fill="auto"/>
                  <w:vAlign w:val="center"/>
                </w:tcPr>
                <w:p w14:paraId="67B332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w:t>
                  </w:r>
                </w:p>
              </w:tc>
            </w:tr>
            <w:tr w14:paraId="05739EA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2" w:hRule="atLeast"/>
                <w:jc w:val="center"/>
              </w:trPr>
              <w:tc>
                <w:tcPr>
                  <w:tcW w:w="231" w:type="pct"/>
                  <w:vMerge w:val="continue"/>
                  <w:tcBorders>
                    <w:tl2br w:val="nil"/>
                    <w:tr2bl w:val="nil"/>
                  </w:tcBorders>
                  <w:shd w:val="clear" w:color="auto" w:fill="auto"/>
                  <w:vAlign w:val="center"/>
                </w:tcPr>
                <w:p w14:paraId="37DBA61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0B4AB85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303809C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6" w:type="pct"/>
                  <w:tcBorders>
                    <w:tl2br w:val="nil"/>
                    <w:tr2bl w:val="nil"/>
                  </w:tcBorders>
                  <w:shd w:val="clear" w:color="auto" w:fill="auto"/>
                  <w:vAlign w:val="center"/>
                </w:tcPr>
                <w:p w14:paraId="204D4D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Style w:val="111"/>
                      <w:rFonts w:eastAsia="宋体"/>
                      <w:color w:val="000000" w:themeColor="text1"/>
                      <w:highlight w:val="none"/>
                      <w:lang w:val="en-US" w:eastAsia="zh-CN" w:bidi="ar"/>
                      <w14:textFill>
                        <w14:solidFill>
                          <w14:schemeClr w14:val="tx1"/>
                        </w14:solidFill>
                      </w14:textFill>
                    </w:rPr>
                    <w:t>5</w:t>
                  </w:r>
                </w:p>
              </w:tc>
              <w:tc>
                <w:tcPr>
                  <w:tcW w:w="401" w:type="pct"/>
                  <w:vMerge w:val="continue"/>
                  <w:tcBorders>
                    <w:tl2br w:val="nil"/>
                    <w:tr2bl w:val="nil"/>
                  </w:tcBorders>
                  <w:shd w:val="clear" w:color="auto" w:fill="auto"/>
                  <w:vAlign w:val="center"/>
                </w:tcPr>
                <w:p w14:paraId="23D9A02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516989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360</w:t>
                  </w:r>
                </w:p>
              </w:tc>
              <w:tc>
                <w:tcPr>
                  <w:tcW w:w="352" w:type="pct"/>
                  <w:tcBorders>
                    <w:tl2br w:val="nil"/>
                    <w:tr2bl w:val="nil"/>
                  </w:tcBorders>
                  <w:shd w:val="clear" w:color="auto" w:fill="auto"/>
                  <w:vAlign w:val="center"/>
                </w:tcPr>
                <w:p w14:paraId="004FDC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10.74</w:t>
                  </w:r>
                </w:p>
              </w:tc>
              <w:tc>
                <w:tcPr>
                  <w:tcW w:w="231" w:type="pct"/>
                  <w:vMerge w:val="continue"/>
                  <w:tcBorders>
                    <w:tl2br w:val="nil"/>
                    <w:tr2bl w:val="nil"/>
                  </w:tcBorders>
                  <w:shd w:val="clear" w:color="auto" w:fill="auto"/>
                  <w:vAlign w:val="center"/>
                </w:tcPr>
                <w:p w14:paraId="273475D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66" w:type="pct"/>
                  <w:vMerge w:val="continue"/>
                  <w:tcBorders>
                    <w:tl2br w:val="nil"/>
                    <w:tr2bl w:val="nil"/>
                  </w:tcBorders>
                  <w:shd w:val="clear" w:color="auto" w:fill="auto"/>
                  <w:vAlign w:val="center"/>
                </w:tcPr>
                <w:p w14:paraId="5F051ED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7" w:type="pct"/>
                  <w:vMerge w:val="continue"/>
                  <w:tcBorders>
                    <w:tl2br w:val="nil"/>
                    <w:tr2bl w:val="nil"/>
                  </w:tcBorders>
                  <w:shd w:val="clear" w:color="auto" w:fill="auto"/>
                  <w:vAlign w:val="center"/>
                </w:tcPr>
                <w:p w14:paraId="5EBDE25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44" w:type="pct"/>
                  <w:tcBorders>
                    <w:tl2br w:val="nil"/>
                    <w:tr2bl w:val="nil"/>
                  </w:tcBorders>
                  <w:shd w:val="clear" w:color="auto" w:fill="auto"/>
                  <w:vAlign w:val="center"/>
                </w:tcPr>
                <w:p w14:paraId="6646A3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231" w:type="pct"/>
                  <w:vMerge w:val="continue"/>
                  <w:tcBorders>
                    <w:tl2br w:val="nil"/>
                    <w:tr2bl w:val="nil"/>
                  </w:tcBorders>
                  <w:shd w:val="clear" w:color="auto" w:fill="auto"/>
                  <w:vAlign w:val="center"/>
                </w:tcPr>
                <w:p w14:paraId="04042A00">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58C6E9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352" w:type="pct"/>
                  <w:tcBorders>
                    <w:tl2br w:val="nil"/>
                    <w:tr2bl w:val="nil"/>
                  </w:tcBorders>
                  <w:shd w:val="clear" w:color="auto" w:fill="auto"/>
                  <w:vAlign w:val="center"/>
                </w:tcPr>
                <w:p w14:paraId="2579E1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8.95</w:t>
                  </w:r>
                </w:p>
              </w:tc>
              <w:tc>
                <w:tcPr>
                  <w:tcW w:w="392" w:type="pct"/>
                  <w:tcBorders>
                    <w:tl2br w:val="nil"/>
                    <w:tr2bl w:val="nil"/>
                  </w:tcBorders>
                  <w:shd w:val="clear" w:color="auto" w:fill="auto"/>
                  <w:vAlign w:val="center"/>
                </w:tcPr>
                <w:p w14:paraId="0C4186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303" w:type="pct"/>
                  <w:tcBorders>
                    <w:tl2br w:val="nil"/>
                    <w:tr2bl w:val="nil"/>
                  </w:tcBorders>
                  <w:shd w:val="clear" w:color="auto" w:fill="auto"/>
                  <w:vAlign w:val="center"/>
                </w:tcPr>
                <w:p w14:paraId="689E82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w:t>
                  </w:r>
                </w:p>
              </w:tc>
            </w:tr>
            <w:tr w14:paraId="353EEA1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1" w:hRule="atLeast"/>
                <w:jc w:val="center"/>
              </w:trPr>
              <w:tc>
                <w:tcPr>
                  <w:tcW w:w="231" w:type="pct"/>
                  <w:vMerge w:val="continue"/>
                  <w:tcBorders>
                    <w:tl2br w:val="nil"/>
                    <w:tr2bl w:val="nil"/>
                  </w:tcBorders>
                  <w:shd w:val="clear" w:color="auto" w:fill="auto"/>
                  <w:vAlign w:val="center"/>
                </w:tcPr>
                <w:p w14:paraId="0115CD1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53A58DD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4F38168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6" w:type="pct"/>
                  <w:tcBorders>
                    <w:tl2br w:val="nil"/>
                    <w:tr2bl w:val="nil"/>
                  </w:tcBorders>
                  <w:shd w:val="clear" w:color="auto" w:fill="auto"/>
                  <w:vAlign w:val="center"/>
                </w:tcPr>
                <w:p w14:paraId="08FE07C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氨氮</w:t>
                  </w:r>
                </w:p>
              </w:tc>
              <w:tc>
                <w:tcPr>
                  <w:tcW w:w="401" w:type="pct"/>
                  <w:vMerge w:val="continue"/>
                  <w:tcBorders>
                    <w:tl2br w:val="nil"/>
                    <w:tr2bl w:val="nil"/>
                  </w:tcBorders>
                  <w:shd w:val="clear" w:color="auto" w:fill="auto"/>
                  <w:vAlign w:val="center"/>
                </w:tcPr>
                <w:p w14:paraId="71996BE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55A29D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352" w:type="pct"/>
                  <w:tcBorders>
                    <w:tl2br w:val="nil"/>
                    <w:tr2bl w:val="nil"/>
                  </w:tcBorders>
                  <w:shd w:val="clear" w:color="auto" w:fill="auto"/>
                  <w:vAlign w:val="center"/>
                </w:tcPr>
                <w:p w14:paraId="550403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1.34</w:t>
                  </w:r>
                </w:p>
              </w:tc>
              <w:tc>
                <w:tcPr>
                  <w:tcW w:w="231" w:type="pct"/>
                  <w:vMerge w:val="continue"/>
                  <w:tcBorders>
                    <w:tl2br w:val="nil"/>
                    <w:tr2bl w:val="nil"/>
                  </w:tcBorders>
                  <w:shd w:val="clear" w:color="auto" w:fill="auto"/>
                  <w:vAlign w:val="center"/>
                </w:tcPr>
                <w:p w14:paraId="43F6EE49">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66" w:type="pct"/>
                  <w:vMerge w:val="continue"/>
                  <w:tcBorders>
                    <w:tl2br w:val="nil"/>
                    <w:tr2bl w:val="nil"/>
                  </w:tcBorders>
                  <w:shd w:val="clear" w:color="auto" w:fill="auto"/>
                  <w:vAlign w:val="center"/>
                </w:tcPr>
                <w:p w14:paraId="16DF20E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7" w:type="pct"/>
                  <w:vMerge w:val="continue"/>
                  <w:tcBorders>
                    <w:tl2br w:val="nil"/>
                    <w:tr2bl w:val="nil"/>
                  </w:tcBorders>
                  <w:shd w:val="clear" w:color="auto" w:fill="auto"/>
                  <w:vAlign w:val="center"/>
                </w:tcPr>
                <w:p w14:paraId="748A7A3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44" w:type="pct"/>
                  <w:tcBorders>
                    <w:tl2br w:val="nil"/>
                    <w:tr2bl w:val="nil"/>
                  </w:tcBorders>
                  <w:shd w:val="clear" w:color="auto" w:fill="auto"/>
                  <w:vAlign w:val="center"/>
                </w:tcPr>
                <w:p w14:paraId="18C395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231" w:type="pct"/>
                  <w:vMerge w:val="continue"/>
                  <w:tcBorders>
                    <w:tl2br w:val="nil"/>
                    <w:tr2bl w:val="nil"/>
                  </w:tcBorders>
                  <w:shd w:val="clear" w:color="auto" w:fill="auto"/>
                  <w:vAlign w:val="center"/>
                </w:tcPr>
                <w:p w14:paraId="1071AB02">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32A09B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352" w:type="pct"/>
                  <w:tcBorders>
                    <w:tl2br w:val="nil"/>
                    <w:tr2bl w:val="nil"/>
                  </w:tcBorders>
                  <w:shd w:val="clear" w:color="auto" w:fill="auto"/>
                  <w:vAlign w:val="center"/>
                </w:tcPr>
                <w:p w14:paraId="5760B2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1.34</w:t>
                  </w:r>
                </w:p>
              </w:tc>
              <w:tc>
                <w:tcPr>
                  <w:tcW w:w="392" w:type="pct"/>
                  <w:tcBorders>
                    <w:tl2br w:val="nil"/>
                    <w:tr2bl w:val="nil"/>
                  </w:tcBorders>
                  <w:shd w:val="clear" w:color="auto" w:fill="auto"/>
                  <w:vAlign w:val="center"/>
                </w:tcPr>
                <w:p w14:paraId="248270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303" w:type="pct"/>
                  <w:tcBorders>
                    <w:tl2br w:val="nil"/>
                    <w:tr2bl w:val="nil"/>
                  </w:tcBorders>
                  <w:shd w:val="clear" w:color="auto" w:fill="auto"/>
                  <w:vAlign w:val="center"/>
                </w:tcPr>
                <w:p w14:paraId="332DD1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w:t>
                  </w:r>
                </w:p>
              </w:tc>
            </w:tr>
            <w:tr w14:paraId="1FA2E5C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67" w:hRule="atLeast"/>
                <w:jc w:val="center"/>
              </w:trPr>
              <w:tc>
                <w:tcPr>
                  <w:tcW w:w="231" w:type="pct"/>
                  <w:vMerge w:val="continue"/>
                  <w:tcBorders>
                    <w:tl2br w:val="nil"/>
                    <w:tr2bl w:val="nil"/>
                  </w:tcBorders>
                  <w:shd w:val="clear" w:color="auto" w:fill="auto"/>
                  <w:vAlign w:val="center"/>
                </w:tcPr>
                <w:p w14:paraId="2602BC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7C483C24">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31" w:type="pct"/>
                  <w:vMerge w:val="continue"/>
                  <w:tcBorders>
                    <w:tl2br w:val="nil"/>
                    <w:tr2bl w:val="nil"/>
                  </w:tcBorders>
                  <w:shd w:val="clear" w:color="auto" w:fill="auto"/>
                  <w:vAlign w:val="center"/>
                </w:tcPr>
                <w:p w14:paraId="7E3B3986">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6" w:type="pct"/>
                  <w:tcBorders>
                    <w:tl2br w:val="nil"/>
                    <w:tr2bl w:val="nil"/>
                  </w:tcBorders>
                  <w:shd w:val="clear" w:color="auto" w:fill="auto"/>
                  <w:vAlign w:val="center"/>
                </w:tcPr>
                <w:p w14:paraId="50EB3D3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总磷（以P计）</w:t>
                  </w:r>
                </w:p>
              </w:tc>
              <w:tc>
                <w:tcPr>
                  <w:tcW w:w="401" w:type="pct"/>
                  <w:vMerge w:val="continue"/>
                  <w:tcBorders>
                    <w:tl2br w:val="nil"/>
                    <w:tr2bl w:val="nil"/>
                  </w:tcBorders>
                  <w:shd w:val="clear" w:color="auto" w:fill="auto"/>
                  <w:vAlign w:val="center"/>
                </w:tcPr>
                <w:p w14:paraId="4895AF6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146F62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352" w:type="pct"/>
                  <w:tcBorders>
                    <w:tl2br w:val="nil"/>
                    <w:tr2bl w:val="nil"/>
                  </w:tcBorders>
                  <w:shd w:val="clear" w:color="auto" w:fill="auto"/>
                  <w:vAlign w:val="center"/>
                </w:tcPr>
                <w:p w14:paraId="1DBCC6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231" w:type="pct"/>
                  <w:vMerge w:val="continue"/>
                  <w:tcBorders>
                    <w:tl2br w:val="nil"/>
                    <w:tr2bl w:val="nil"/>
                  </w:tcBorders>
                  <w:shd w:val="clear" w:color="auto" w:fill="auto"/>
                  <w:vAlign w:val="center"/>
                </w:tcPr>
                <w:p w14:paraId="2AB20E52">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266" w:type="pct"/>
                  <w:vMerge w:val="continue"/>
                  <w:tcBorders>
                    <w:tl2br w:val="nil"/>
                    <w:tr2bl w:val="nil"/>
                  </w:tcBorders>
                  <w:shd w:val="clear" w:color="auto" w:fill="auto"/>
                  <w:vAlign w:val="center"/>
                </w:tcPr>
                <w:p w14:paraId="1013EB3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47" w:type="pct"/>
                  <w:vMerge w:val="continue"/>
                  <w:tcBorders>
                    <w:tl2br w:val="nil"/>
                    <w:tr2bl w:val="nil"/>
                  </w:tcBorders>
                  <w:shd w:val="clear" w:color="auto" w:fill="auto"/>
                  <w:vAlign w:val="center"/>
                </w:tcPr>
                <w:p w14:paraId="23CA4C7E">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44" w:type="pct"/>
                  <w:tcBorders>
                    <w:tl2br w:val="nil"/>
                    <w:tr2bl w:val="nil"/>
                  </w:tcBorders>
                  <w:shd w:val="clear" w:color="auto" w:fill="auto"/>
                  <w:vAlign w:val="center"/>
                </w:tcPr>
                <w:p w14:paraId="484562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231" w:type="pct"/>
                  <w:vMerge w:val="continue"/>
                  <w:tcBorders>
                    <w:tl2br w:val="nil"/>
                    <w:tr2bl w:val="nil"/>
                  </w:tcBorders>
                  <w:shd w:val="clear" w:color="auto" w:fill="auto"/>
                  <w:vAlign w:val="center"/>
                </w:tcPr>
                <w:p w14:paraId="5CB7F9E5">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392" w:type="pct"/>
                  <w:tcBorders>
                    <w:tl2br w:val="nil"/>
                    <w:tr2bl w:val="nil"/>
                  </w:tcBorders>
                  <w:shd w:val="clear" w:color="auto" w:fill="auto"/>
                  <w:vAlign w:val="center"/>
                </w:tcPr>
                <w:p w14:paraId="3E933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352" w:type="pct"/>
                  <w:tcBorders>
                    <w:tl2br w:val="nil"/>
                    <w:tr2bl w:val="nil"/>
                  </w:tcBorders>
                  <w:shd w:val="clear" w:color="auto" w:fill="auto"/>
                  <w:vAlign w:val="center"/>
                </w:tcPr>
                <w:p w14:paraId="71A5C2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392" w:type="pct"/>
                  <w:tcBorders>
                    <w:tl2br w:val="nil"/>
                    <w:tr2bl w:val="nil"/>
                  </w:tcBorders>
                  <w:shd w:val="clear" w:color="auto" w:fill="auto"/>
                  <w:vAlign w:val="center"/>
                </w:tcPr>
                <w:p w14:paraId="00D3F4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303" w:type="pct"/>
                  <w:tcBorders>
                    <w:tl2br w:val="nil"/>
                    <w:tr2bl w:val="nil"/>
                  </w:tcBorders>
                  <w:shd w:val="clear" w:color="auto" w:fill="auto"/>
                  <w:vAlign w:val="center"/>
                </w:tcPr>
                <w:p w14:paraId="1FEB8B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r>
          </w:tbl>
          <w:p w14:paraId="7DF70722">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2" w:leftChars="0" w:firstLine="482" w:firstLineChars="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废水排放口基本情况表</w:t>
            </w:r>
          </w:p>
          <w:p w14:paraId="1BF56362">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本项目生活污水经污水预处理池处理，然后并管排入市政污水管网，排放口基本信息如下表所示。</w:t>
            </w:r>
          </w:p>
          <w:p w14:paraId="68E8CD75">
            <w:pPr>
              <w:pStyle w:val="3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4-12</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废水排放口基本情况表</w:t>
            </w:r>
          </w:p>
          <w:tbl>
            <w:tblPr>
              <w:tblStyle w:val="35"/>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2"/>
              <w:gridCol w:w="671"/>
              <w:gridCol w:w="285"/>
              <w:gridCol w:w="584"/>
              <w:gridCol w:w="454"/>
              <w:gridCol w:w="1279"/>
              <w:gridCol w:w="1174"/>
              <w:gridCol w:w="495"/>
              <w:gridCol w:w="255"/>
              <w:gridCol w:w="1370"/>
              <w:gridCol w:w="518"/>
              <w:gridCol w:w="753"/>
            </w:tblGrid>
            <w:tr w14:paraId="5C2230E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157" w:type="pct"/>
                  <w:vMerge w:val="restart"/>
                  <w:tcBorders>
                    <w:tl2br w:val="nil"/>
                    <w:tr2bl w:val="nil"/>
                  </w:tcBorders>
                  <w:noWrap w:val="0"/>
                  <w:vAlign w:val="center"/>
                </w:tcPr>
                <w:p w14:paraId="768EFFB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358" w:type="pct"/>
                  <w:vMerge w:val="restart"/>
                  <w:tcBorders>
                    <w:tl2br w:val="nil"/>
                    <w:tr2bl w:val="nil"/>
                  </w:tcBorders>
                  <w:noWrap w:val="0"/>
                  <w:vAlign w:val="center"/>
                </w:tcPr>
                <w:p w14:paraId="2536BE1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w:t>
                  </w:r>
                </w:p>
                <w:p w14:paraId="19362A5B">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编号</w:t>
                  </w:r>
                </w:p>
              </w:tc>
              <w:tc>
                <w:tcPr>
                  <w:tcW w:w="256" w:type="pct"/>
                  <w:vMerge w:val="restart"/>
                  <w:tcBorders>
                    <w:tl2br w:val="nil"/>
                    <w:tr2bl w:val="nil"/>
                  </w:tcBorders>
                  <w:noWrap w:val="0"/>
                  <w:vAlign w:val="center"/>
                </w:tcPr>
                <w:p w14:paraId="22E2D112">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w:t>
                  </w:r>
                </w:p>
                <w:p w14:paraId="5416624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311" w:type="pct"/>
                  <w:tcBorders>
                    <w:tl2br w:val="nil"/>
                    <w:tr2bl w:val="nil"/>
                  </w:tcBorders>
                  <w:noWrap w:val="0"/>
                  <w:vAlign w:val="center"/>
                </w:tcPr>
                <w:p w14:paraId="6550BB8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流量</w:t>
                  </w:r>
                </w:p>
              </w:tc>
              <w:tc>
                <w:tcPr>
                  <w:tcW w:w="331" w:type="pct"/>
                  <w:vMerge w:val="restart"/>
                  <w:tcBorders>
                    <w:tl2br w:val="nil"/>
                    <w:tr2bl w:val="nil"/>
                  </w:tcBorders>
                  <w:noWrap w:val="0"/>
                  <w:vAlign w:val="center"/>
                </w:tcPr>
                <w:p w14:paraId="030ACE0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w:t>
                  </w:r>
                </w:p>
                <w:p w14:paraId="00F795D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类型</w:t>
                  </w:r>
                </w:p>
              </w:tc>
              <w:tc>
                <w:tcPr>
                  <w:tcW w:w="1347" w:type="pct"/>
                  <w:gridSpan w:val="2"/>
                  <w:tcBorders>
                    <w:tl2br w:val="nil"/>
                    <w:tr2bl w:val="nil"/>
                  </w:tcBorders>
                  <w:noWrap w:val="0"/>
                  <w:vAlign w:val="center"/>
                </w:tcPr>
                <w:p w14:paraId="33B9C13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排放口地理坐标</w:t>
                  </w:r>
                </w:p>
              </w:tc>
              <w:tc>
                <w:tcPr>
                  <w:tcW w:w="356" w:type="pct"/>
                  <w:vMerge w:val="restart"/>
                  <w:tcBorders>
                    <w:tl2br w:val="nil"/>
                    <w:tr2bl w:val="nil"/>
                  </w:tcBorders>
                  <w:noWrap w:val="0"/>
                  <w:vAlign w:val="center"/>
                </w:tcPr>
                <w:p w14:paraId="49E87F2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w:t>
                  </w:r>
                </w:p>
                <w:p w14:paraId="5387B32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去向</w:t>
                  </w:r>
                </w:p>
              </w:tc>
              <w:tc>
                <w:tcPr>
                  <w:tcW w:w="207" w:type="pct"/>
                  <w:vMerge w:val="restart"/>
                  <w:tcBorders>
                    <w:tl2br w:val="nil"/>
                    <w:tr2bl w:val="nil"/>
                  </w:tcBorders>
                  <w:noWrap w:val="0"/>
                  <w:vAlign w:val="center"/>
                </w:tcPr>
                <w:p w14:paraId="7C390F0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排放方式</w:t>
                  </w:r>
                </w:p>
              </w:tc>
              <w:tc>
                <w:tcPr>
                  <w:tcW w:w="898" w:type="pct"/>
                  <w:vMerge w:val="restart"/>
                  <w:tcBorders>
                    <w:tl2br w:val="nil"/>
                    <w:tr2bl w:val="nil"/>
                  </w:tcBorders>
                  <w:noWrap w:val="0"/>
                  <w:vAlign w:val="center"/>
                </w:tcPr>
                <w:p w14:paraId="44EDFC4B">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w:t>
                  </w:r>
                </w:p>
                <w:p w14:paraId="22B3361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规律</w:t>
                  </w:r>
                </w:p>
              </w:tc>
              <w:tc>
                <w:tcPr>
                  <w:tcW w:w="774" w:type="pct"/>
                  <w:gridSpan w:val="2"/>
                  <w:tcBorders>
                    <w:tl2br w:val="nil"/>
                    <w:tr2bl w:val="nil"/>
                  </w:tcBorders>
                  <w:noWrap w:val="0"/>
                  <w:vAlign w:val="top"/>
                </w:tcPr>
                <w:p w14:paraId="09E576E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受纳污水处理厂信息</w:t>
                  </w:r>
                </w:p>
              </w:tc>
            </w:tr>
            <w:tr w14:paraId="5402B3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157" w:type="pct"/>
                  <w:vMerge w:val="continue"/>
                  <w:tcBorders>
                    <w:tl2br w:val="nil"/>
                    <w:tr2bl w:val="nil"/>
                  </w:tcBorders>
                  <w:noWrap w:val="0"/>
                  <w:vAlign w:val="center"/>
                </w:tcPr>
                <w:p w14:paraId="64A2A37E">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58" w:type="pct"/>
                  <w:vMerge w:val="continue"/>
                  <w:tcBorders>
                    <w:tl2br w:val="nil"/>
                    <w:tr2bl w:val="nil"/>
                  </w:tcBorders>
                  <w:noWrap w:val="0"/>
                  <w:vAlign w:val="center"/>
                </w:tcPr>
                <w:p w14:paraId="1711CD5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56" w:type="pct"/>
                  <w:vMerge w:val="continue"/>
                  <w:tcBorders>
                    <w:tl2br w:val="nil"/>
                    <w:tr2bl w:val="nil"/>
                  </w:tcBorders>
                  <w:noWrap w:val="0"/>
                  <w:vAlign w:val="center"/>
                </w:tcPr>
                <w:p w14:paraId="732C32F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11" w:type="pct"/>
                  <w:tcBorders>
                    <w:tl2br w:val="nil"/>
                    <w:tr2bl w:val="nil"/>
                  </w:tcBorders>
                  <w:noWrap w:val="0"/>
                  <w:vAlign w:val="center"/>
                </w:tcPr>
                <w:p w14:paraId="2126646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t/d</w:t>
                  </w:r>
                </w:p>
              </w:tc>
              <w:tc>
                <w:tcPr>
                  <w:tcW w:w="331" w:type="pct"/>
                  <w:vMerge w:val="continue"/>
                  <w:tcBorders>
                    <w:tl2br w:val="nil"/>
                    <w:tr2bl w:val="nil"/>
                  </w:tcBorders>
                  <w:noWrap w:val="0"/>
                  <w:vAlign w:val="center"/>
                </w:tcPr>
                <w:p w14:paraId="49E3881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701" w:type="pct"/>
                  <w:tcBorders>
                    <w:tl2br w:val="nil"/>
                    <w:tr2bl w:val="nil"/>
                  </w:tcBorders>
                  <w:noWrap w:val="0"/>
                  <w:vAlign w:val="center"/>
                </w:tcPr>
                <w:p w14:paraId="401A819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经度</w:t>
                  </w:r>
                </w:p>
              </w:tc>
              <w:tc>
                <w:tcPr>
                  <w:tcW w:w="645" w:type="pct"/>
                  <w:tcBorders>
                    <w:tl2br w:val="nil"/>
                    <w:tr2bl w:val="nil"/>
                  </w:tcBorders>
                  <w:noWrap w:val="0"/>
                  <w:vAlign w:val="center"/>
                </w:tcPr>
                <w:p w14:paraId="1973D1D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纬度</w:t>
                  </w:r>
                </w:p>
              </w:tc>
              <w:tc>
                <w:tcPr>
                  <w:tcW w:w="356" w:type="pct"/>
                  <w:vMerge w:val="continue"/>
                  <w:tcBorders>
                    <w:tl2br w:val="nil"/>
                    <w:tr2bl w:val="nil"/>
                  </w:tcBorders>
                  <w:noWrap w:val="0"/>
                  <w:vAlign w:val="center"/>
                </w:tcPr>
                <w:p w14:paraId="5510DCC1">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07" w:type="pct"/>
                  <w:vMerge w:val="continue"/>
                  <w:tcBorders>
                    <w:tl2br w:val="nil"/>
                    <w:tr2bl w:val="nil"/>
                  </w:tcBorders>
                  <w:noWrap w:val="0"/>
                  <w:vAlign w:val="center"/>
                </w:tcPr>
                <w:p w14:paraId="3DEFF756">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898" w:type="pct"/>
                  <w:vMerge w:val="continue"/>
                  <w:tcBorders>
                    <w:tl2br w:val="nil"/>
                    <w:tr2bl w:val="nil"/>
                  </w:tcBorders>
                  <w:noWrap w:val="0"/>
                  <w:vAlign w:val="center"/>
                </w:tcPr>
                <w:p w14:paraId="15E05DB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70" w:type="pct"/>
                  <w:tcBorders>
                    <w:tl2br w:val="nil"/>
                    <w:tr2bl w:val="nil"/>
                  </w:tcBorders>
                  <w:noWrap w:val="0"/>
                  <w:vAlign w:val="top"/>
                </w:tcPr>
                <w:p w14:paraId="37FD0D7F">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top"/>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处理</w:t>
                  </w:r>
                </w:p>
                <w:p w14:paraId="280E9F35">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工艺</w:t>
                  </w:r>
                </w:p>
              </w:tc>
              <w:tc>
                <w:tcPr>
                  <w:tcW w:w="403" w:type="pct"/>
                  <w:tcBorders>
                    <w:tl2br w:val="nil"/>
                    <w:tr2bl w:val="nil"/>
                  </w:tcBorders>
                  <w:noWrap w:val="0"/>
                  <w:vAlign w:val="top"/>
                </w:tcPr>
                <w:p w14:paraId="7BAC44B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top"/>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处理</w:t>
                  </w:r>
                </w:p>
                <w:p w14:paraId="6B3A699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top"/>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能力</w:t>
                  </w:r>
                </w:p>
              </w:tc>
            </w:tr>
            <w:tr w14:paraId="472347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52" w:hRule="atLeast"/>
              </w:trPr>
              <w:tc>
                <w:tcPr>
                  <w:tcW w:w="157" w:type="pct"/>
                  <w:tcBorders>
                    <w:tl2br w:val="nil"/>
                    <w:tr2bl w:val="nil"/>
                  </w:tcBorders>
                  <w:noWrap w:val="0"/>
                  <w:vAlign w:val="center"/>
                </w:tcPr>
                <w:p w14:paraId="0DD897E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358" w:type="pct"/>
                  <w:tcBorders>
                    <w:tl2br w:val="nil"/>
                    <w:tr2bl w:val="nil"/>
                  </w:tcBorders>
                  <w:noWrap w:val="0"/>
                  <w:vAlign w:val="center"/>
                </w:tcPr>
                <w:p w14:paraId="348294D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DW001</w:t>
                  </w:r>
                </w:p>
              </w:tc>
              <w:tc>
                <w:tcPr>
                  <w:tcW w:w="256" w:type="pct"/>
                  <w:tcBorders>
                    <w:tl2br w:val="nil"/>
                    <w:tr2bl w:val="nil"/>
                  </w:tcBorders>
                  <w:noWrap w:val="0"/>
                  <w:vAlign w:val="center"/>
                </w:tcPr>
                <w:p w14:paraId="41C617B8">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废水总排放口</w:t>
                  </w:r>
                </w:p>
              </w:tc>
              <w:tc>
                <w:tcPr>
                  <w:tcW w:w="311" w:type="pct"/>
                  <w:tcBorders>
                    <w:tl2br w:val="nil"/>
                    <w:tr2bl w:val="nil"/>
                  </w:tcBorders>
                  <w:noWrap w:val="0"/>
                  <w:vAlign w:val="center"/>
                </w:tcPr>
                <w:p w14:paraId="59077A8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0.9945</w:t>
                  </w:r>
                </w:p>
              </w:tc>
              <w:tc>
                <w:tcPr>
                  <w:tcW w:w="331" w:type="pct"/>
                  <w:tcBorders>
                    <w:tl2br w:val="nil"/>
                    <w:tr2bl w:val="nil"/>
                  </w:tcBorders>
                  <w:noWrap w:val="0"/>
                  <w:vAlign w:val="center"/>
                </w:tcPr>
                <w:p w14:paraId="02118E3F">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一般排放口</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总排口</w:t>
                  </w:r>
                </w:p>
              </w:tc>
              <w:tc>
                <w:tcPr>
                  <w:tcW w:w="701" w:type="pct"/>
                  <w:tcBorders>
                    <w:tl2br w:val="nil"/>
                    <w:tr2bl w:val="nil"/>
                  </w:tcBorders>
                  <w:noWrap w:val="0"/>
                  <w:vAlign w:val="center"/>
                </w:tcPr>
                <w:p w14:paraId="58EFDDCC">
                  <w:pPr>
                    <w:pStyle w:val="116"/>
                    <w:bidi w:val="0"/>
                    <w:ind w:firstLine="0" w:firstLineChars="0"/>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.672593º</w:t>
                  </w:r>
                </w:p>
              </w:tc>
              <w:tc>
                <w:tcPr>
                  <w:tcW w:w="645" w:type="pct"/>
                  <w:tcBorders>
                    <w:tl2br w:val="nil"/>
                    <w:tr2bl w:val="nil"/>
                  </w:tcBorders>
                  <w:noWrap w:val="0"/>
                  <w:vAlign w:val="center"/>
                </w:tcPr>
                <w:p w14:paraId="3A4C3102">
                  <w:pPr>
                    <w:pStyle w:val="116"/>
                    <w:bidi w:val="0"/>
                    <w:ind w:firstLine="0" w:firstLineChars="0"/>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9357º</w:t>
                  </w:r>
                </w:p>
              </w:tc>
              <w:tc>
                <w:tcPr>
                  <w:tcW w:w="356" w:type="pct"/>
                  <w:tcBorders>
                    <w:tl2br w:val="nil"/>
                    <w:tr2bl w:val="nil"/>
                  </w:tcBorders>
                  <w:noWrap w:val="0"/>
                  <w:vAlign w:val="center"/>
                </w:tcPr>
                <w:p w14:paraId="366C07A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甘孜县县城污水处理厂</w:t>
                  </w:r>
                </w:p>
              </w:tc>
              <w:tc>
                <w:tcPr>
                  <w:tcW w:w="207" w:type="pct"/>
                  <w:tcBorders>
                    <w:tl2br w:val="nil"/>
                    <w:tr2bl w:val="nil"/>
                  </w:tcBorders>
                  <w:noWrap w:val="0"/>
                  <w:vAlign w:val="center"/>
                </w:tcPr>
                <w:p w14:paraId="1CC57678">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间接排放</w:t>
                  </w:r>
                </w:p>
              </w:tc>
              <w:tc>
                <w:tcPr>
                  <w:tcW w:w="898" w:type="pct"/>
                  <w:tcBorders>
                    <w:tl2br w:val="nil"/>
                    <w:tr2bl w:val="nil"/>
                  </w:tcBorders>
                  <w:noWrap w:val="0"/>
                  <w:vAlign w:val="center"/>
                </w:tcPr>
                <w:p w14:paraId="6123FAA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间断排放，排气阀期间流量不稳定且无规律，但不属于冲击型排放</w:t>
                  </w:r>
                </w:p>
              </w:tc>
              <w:tc>
                <w:tcPr>
                  <w:tcW w:w="370" w:type="pct"/>
                  <w:tcBorders>
                    <w:tl2br w:val="nil"/>
                    <w:tr2bl w:val="nil"/>
                  </w:tcBorders>
                  <w:noWrap w:val="0"/>
                  <w:vAlign w:val="center"/>
                </w:tcPr>
                <w:p w14:paraId="098BB29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生物流化床+生物滤池处</w:t>
                  </w:r>
                </w:p>
              </w:tc>
              <w:tc>
                <w:tcPr>
                  <w:tcW w:w="403" w:type="pct"/>
                  <w:tcBorders>
                    <w:tl2br w:val="nil"/>
                    <w:tr2bl w:val="nil"/>
                  </w:tcBorders>
                  <w:noWrap w:val="0"/>
                  <w:vAlign w:val="center"/>
                </w:tcPr>
                <w:p w14:paraId="794236D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12500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t/d</w:t>
                  </w:r>
                </w:p>
              </w:tc>
            </w:tr>
          </w:tbl>
          <w:p w14:paraId="74B90435">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2"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废水污染物排放执行标准</w:t>
            </w:r>
          </w:p>
          <w:p w14:paraId="6D25136B">
            <w:pPr>
              <w:pStyle w:val="3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4-13</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废水污染物排放执行标准表</w:t>
            </w:r>
          </w:p>
          <w:tbl>
            <w:tblPr>
              <w:tblStyle w:val="3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881"/>
              <w:gridCol w:w="501"/>
              <w:gridCol w:w="936"/>
              <w:gridCol w:w="2134"/>
              <w:gridCol w:w="986"/>
              <w:gridCol w:w="530"/>
              <w:gridCol w:w="636"/>
              <w:gridCol w:w="1030"/>
            </w:tblGrid>
            <w:tr w14:paraId="2486334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249" w:type="pct"/>
                  <w:vMerge w:val="restart"/>
                  <w:tcBorders>
                    <w:tl2br w:val="nil"/>
                    <w:tr2bl w:val="nil"/>
                  </w:tcBorders>
                  <w:noWrap w:val="0"/>
                  <w:vAlign w:val="center"/>
                </w:tcPr>
                <w:p w14:paraId="7AE480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493" w:type="pct"/>
                  <w:vMerge w:val="restart"/>
                  <w:tcBorders>
                    <w:tl2br w:val="nil"/>
                    <w:tr2bl w:val="nil"/>
                  </w:tcBorders>
                  <w:noWrap w:val="0"/>
                  <w:vAlign w:val="center"/>
                </w:tcPr>
                <w:p w14:paraId="2C818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w:t>
                  </w:r>
                </w:p>
                <w:p w14:paraId="48E2B4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编号</w:t>
                  </w:r>
                </w:p>
              </w:tc>
              <w:tc>
                <w:tcPr>
                  <w:tcW w:w="330" w:type="pct"/>
                  <w:vMerge w:val="restart"/>
                  <w:tcBorders>
                    <w:tl2br w:val="nil"/>
                    <w:tr2bl w:val="nil"/>
                  </w:tcBorders>
                  <w:noWrap w:val="0"/>
                  <w:vAlign w:val="center"/>
                </w:tcPr>
                <w:p w14:paraId="68BAAE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排放口</w:t>
                  </w:r>
                </w:p>
                <w:p w14:paraId="0650A4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600" w:type="pct"/>
                  <w:vMerge w:val="restart"/>
                  <w:tcBorders>
                    <w:tl2br w:val="nil"/>
                    <w:tr2bl w:val="nil"/>
                  </w:tcBorders>
                  <w:noWrap w:val="0"/>
                  <w:vAlign w:val="center"/>
                </w:tcPr>
                <w:p w14:paraId="4F084B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p w14:paraId="2F2E49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种类</w:t>
                  </w:r>
                </w:p>
              </w:tc>
              <w:tc>
                <w:tcPr>
                  <w:tcW w:w="1903" w:type="pct"/>
                  <w:gridSpan w:val="2"/>
                  <w:tcBorders>
                    <w:tl2br w:val="nil"/>
                    <w:tr2bl w:val="nil"/>
                  </w:tcBorders>
                  <w:noWrap w:val="0"/>
                  <w:vAlign w:val="center"/>
                </w:tcPr>
                <w:p w14:paraId="54F8DD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国家或地方污染物排放标准</w:t>
                  </w:r>
                </w:p>
              </w:tc>
              <w:tc>
                <w:tcPr>
                  <w:tcW w:w="348" w:type="pct"/>
                  <w:vMerge w:val="restart"/>
                  <w:tcBorders>
                    <w:tl2br w:val="nil"/>
                    <w:tr2bl w:val="nil"/>
                  </w:tcBorders>
                  <w:noWrap w:val="0"/>
                  <w:vAlign w:val="center"/>
                </w:tcPr>
                <w:p w14:paraId="3B3A1A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达标情况</w:t>
                  </w:r>
                </w:p>
              </w:tc>
              <w:tc>
                <w:tcPr>
                  <w:tcW w:w="414" w:type="pct"/>
                  <w:vMerge w:val="restart"/>
                  <w:tcBorders>
                    <w:tl2br w:val="nil"/>
                    <w:tr2bl w:val="nil"/>
                  </w:tcBorders>
                  <w:noWrap w:val="0"/>
                  <w:vAlign w:val="center"/>
                </w:tcPr>
                <w:p w14:paraId="59223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年排放天数d/a</w:t>
                  </w:r>
                </w:p>
              </w:tc>
              <w:tc>
                <w:tcPr>
                  <w:tcW w:w="658" w:type="pct"/>
                  <w:vMerge w:val="restart"/>
                  <w:tcBorders>
                    <w:tl2br w:val="nil"/>
                    <w:tr2bl w:val="nil"/>
                  </w:tcBorders>
                  <w:noWrap w:val="0"/>
                  <w:vAlign w:val="center"/>
                </w:tcPr>
                <w:p w14:paraId="0EF3D1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废水排放量t/a</w:t>
                  </w:r>
                </w:p>
              </w:tc>
            </w:tr>
            <w:tr w14:paraId="06D7E9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249" w:type="pct"/>
                  <w:vMerge w:val="continue"/>
                  <w:tcBorders>
                    <w:tl2br w:val="nil"/>
                    <w:tr2bl w:val="nil"/>
                  </w:tcBorders>
                  <w:noWrap w:val="0"/>
                  <w:vAlign w:val="center"/>
                </w:tcPr>
                <w:p w14:paraId="3FAEB8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93" w:type="pct"/>
                  <w:vMerge w:val="continue"/>
                  <w:tcBorders>
                    <w:tl2br w:val="nil"/>
                    <w:tr2bl w:val="nil"/>
                  </w:tcBorders>
                  <w:noWrap w:val="0"/>
                  <w:vAlign w:val="center"/>
                </w:tcPr>
                <w:p w14:paraId="66D8FF3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330" w:type="pct"/>
                  <w:vMerge w:val="continue"/>
                  <w:tcBorders>
                    <w:tl2br w:val="nil"/>
                    <w:tr2bl w:val="nil"/>
                  </w:tcBorders>
                  <w:noWrap w:val="0"/>
                  <w:vAlign w:val="center"/>
                </w:tcPr>
                <w:p w14:paraId="4C78BA1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600" w:type="pct"/>
                  <w:vMerge w:val="continue"/>
                  <w:tcBorders>
                    <w:tl2br w:val="nil"/>
                    <w:tr2bl w:val="nil"/>
                  </w:tcBorders>
                  <w:noWrap w:val="0"/>
                  <w:vAlign w:val="center"/>
                </w:tcPr>
                <w:p w14:paraId="2F2F972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342" w:type="pct"/>
                  <w:tcBorders>
                    <w:tl2br w:val="nil"/>
                    <w:tr2bl w:val="nil"/>
                  </w:tcBorders>
                  <w:noWrap w:val="0"/>
                  <w:vAlign w:val="center"/>
                </w:tcPr>
                <w:p w14:paraId="5B30B9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561" w:type="pct"/>
                  <w:tcBorders>
                    <w:tl2br w:val="nil"/>
                    <w:tr2bl w:val="nil"/>
                  </w:tcBorders>
                  <w:noWrap w:val="0"/>
                  <w:vAlign w:val="center"/>
                </w:tcPr>
                <w:p w14:paraId="1C6294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浓度限值</w:t>
                  </w:r>
                </w:p>
              </w:tc>
              <w:tc>
                <w:tcPr>
                  <w:tcW w:w="348" w:type="pct"/>
                  <w:vMerge w:val="continue"/>
                  <w:tcBorders>
                    <w:tl2br w:val="nil"/>
                    <w:tr2bl w:val="nil"/>
                  </w:tcBorders>
                  <w:noWrap w:val="0"/>
                  <w:vAlign w:val="center"/>
                </w:tcPr>
                <w:p w14:paraId="525C13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14" w:type="pct"/>
                  <w:vMerge w:val="continue"/>
                  <w:tcBorders>
                    <w:tl2br w:val="nil"/>
                    <w:tr2bl w:val="nil"/>
                  </w:tcBorders>
                  <w:noWrap w:val="0"/>
                  <w:vAlign w:val="center"/>
                </w:tcPr>
                <w:p w14:paraId="712B390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658" w:type="pct"/>
                  <w:vMerge w:val="continue"/>
                  <w:tcBorders>
                    <w:tl2br w:val="nil"/>
                    <w:tr2bl w:val="nil"/>
                  </w:tcBorders>
                  <w:noWrap w:val="0"/>
                  <w:vAlign w:val="center"/>
                </w:tcPr>
                <w:p w14:paraId="5A03013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r>
            <w:tr w14:paraId="6FDE3E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249" w:type="pct"/>
                  <w:tcBorders>
                    <w:tl2br w:val="nil"/>
                    <w:tr2bl w:val="nil"/>
                  </w:tcBorders>
                  <w:noWrap w:val="0"/>
                  <w:vAlign w:val="center"/>
                </w:tcPr>
                <w:p w14:paraId="40F3F8A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c>
                <w:tcPr>
                  <w:tcW w:w="493" w:type="pct"/>
                  <w:vMerge w:val="restart"/>
                  <w:tcBorders>
                    <w:tl2br w:val="nil"/>
                    <w:tr2bl w:val="nil"/>
                  </w:tcBorders>
                  <w:noWrap w:val="0"/>
                  <w:vAlign w:val="center"/>
                </w:tcPr>
                <w:p w14:paraId="2D8953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DW001</w:t>
                  </w:r>
                </w:p>
              </w:tc>
              <w:tc>
                <w:tcPr>
                  <w:tcW w:w="330" w:type="pct"/>
                  <w:vMerge w:val="restart"/>
                  <w:tcBorders>
                    <w:tl2br w:val="nil"/>
                    <w:tr2bl w:val="nil"/>
                  </w:tcBorders>
                  <w:noWrap w:val="0"/>
                  <w:vAlign w:val="center"/>
                </w:tcPr>
                <w:p w14:paraId="556A1E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废水排放口</w:t>
                  </w:r>
                </w:p>
              </w:tc>
              <w:tc>
                <w:tcPr>
                  <w:tcW w:w="600" w:type="pct"/>
                  <w:tcBorders>
                    <w:tl2br w:val="nil"/>
                    <w:tr2bl w:val="nil"/>
                  </w:tcBorders>
                  <w:noWrap w:val="0"/>
                  <w:vAlign w:val="center"/>
                </w:tcPr>
                <w:p w14:paraId="46F18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pH值</w:t>
                  </w:r>
                </w:p>
              </w:tc>
              <w:tc>
                <w:tcPr>
                  <w:tcW w:w="1342" w:type="pct"/>
                  <w:tcBorders>
                    <w:tl2br w:val="nil"/>
                    <w:tr2bl w:val="nil"/>
                  </w:tcBorders>
                  <w:noWrap w:val="0"/>
                  <w:vAlign w:val="center"/>
                </w:tcPr>
                <w:p w14:paraId="5A104B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污水综合排放标准（GB8978-1996）三级标准</w:t>
                  </w:r>
                </w:p>
              </w:tc>
              <w:tc>
                <w:tcPr>
                  <w:tcW w:w="561" w:type="pct"/>
                  <w:tcBorders>
                    <w:tl2br w:val="nil"/>
                    <w:tr2bl w:val="nil"/>
                  </w:tcBorders>
                  <w:noWrap w:val="0"/>
                  <w:vAlign w:val="center"/>
                </w:tcPr>
                <w:p w14:paraId="57D71E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6~9</w:t>
                  </w:r>
                </w:p>
              </w:tc>
              <w:tc>
                <w:tcPr>
                  <w:tcW w:w="348" w:type="pct"/>
                  <w:tcBorders>
                    <w:tl2br w:val="nil"/>
                    <w:tr2bl w:val="nil"/>
                  </w:tcBorders>
                  <w:noWrap w:val="0"/>
                  <w:vAlign w:val="center"/>
                </w:tcPr>
                <w:p w14:paraId="3344A1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414" w:type="pct"/>
                  <w:vMerge w:val="restart"/>
                  <w:tcBorders>
                    <w:tl2br w:val="nil"/>
                    <w:tr2bl w:val="nil"/>
                  </w:tcBorders>
                  <w:noWrap w:val="0"/>
                  <w:vAlign w:val="center"/>
                </w:tcPr>
                <w:p w14:paraId="6605CA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658" w:type="pct"/>
                  <w:vMerge w:val="restart"/>
                  <w:tcBorders>
                    <w:tl2br w:val="nil"/>
                    <w:tr2bl w:val="nil"/>
                  </w:tcBorders>
                  <w:noWrap w:val="0"/>
                  <w:vAlign w:val="center"/>
                </w:tcPr>
                <w:p w14:paraId="617B4E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t>298.35</w:t>
                  </w:r>
                </w:p>
              </w:tc>
            </w:tr>
            <w:tr w14:paraId="7DE04BE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249" w:type="pct"/>
                  <w:tcBorders>
                    <w:tl2br w:val="nil"/>
                    <w:tr2bl w:val="nil"/>
                  </w:tcBorders>
                  <w:noWrap w:val="0"/>
                  <w:vAlign w:val="center"/>
                </w:tcPr>
                <w:p w14:paraId="72EA7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93" w:type="pct"/>
                  <w:vMerge w:val="continue"/>
                  <w:tcBorders>
                    <w:tl2br w:val="nil"/>
                    <w:tr2bl w:val="nil"/>
                  </w:tcBorders>
                  <w:noWrap w:val="0"/>
                  <w:vAlign w:val="center"/>
                </w:tcPr>
                <w:p w14:paraId="50E58E2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30" w:type="pct"/>
                  <w:vMerge w:val="continue"/>
                  <w:tcBorders>
                    <w:tl2br w:val="nil"/>
                    <w:tr2bl w:val="nil"/>
                  </w:tcBorders>
                  <w:noWrap w:val="0"/>
                  <w:vAlign w:val="center"/>
                </w:tcPr>
                <w:p w14:paraId="73C077B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00" w:type="pct"/>
                  <w:tcBorders>
                    <w:tl2br w:val="nil"/>
                    <w:tr2bl w:val="nil"/>
                  </w:tcBorders>
                  <w:noWrap w:val="0"/>
                  <w:vAlign w:val="center"/>
                </w:tcPr>
                <w:p w14:paraId="2E2291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化学需氧量</w:t>
                  </w:r>
                </w:p>
              </w:tc>
              <w:tc>
                <w:tcPr>
                  <w:tcW w:w="1342" w:type="pct"/>
                  <w:tcBorders>
                    <w:tl2br w:val="nil"/>
                    <w:tr2bl w:val="nil"/>
                  </w:tcBorders>
                  <w:noWrap w:val="0"/>
                  <w:vAlign w:val="center"/>
                </w:tcPr>
                <w:p w14:paraId="39E33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污水综合排放标准（GB8978-1996）三级标准</w:t>
                  </w:r>
                </w:p>
              </w:tc>
              <w:tc>
                <w:tcPr>
                  <w:tcW w:w="561" w:type="pct"/>
                  <w:tcBorders>
                    <w:tl2br w:val="nil"/>
                    <w:tr2bl w:val="nil"/>
                  </w:tcBorders>
                  <w:noWrap w:val="0"/>
                  <w:vAlign w:val="center"/>
                </w:tcPr>
                <w:p w14:paraId="2FF10D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500mg/L</w:t>
                  </w:r>
                </w:p>
              </w:tc>
              <w:tc>
                <w:tcPr>
                  <w:tcW w:w="348" w:type="pct"/>
                  <w:tcBorders>
                    <w:tl2br w:val="nil"/>
                    <w:tr2bl w:val="nil"/>
                  </w:tcBorders>
                  <w:noWrap w:val="0"/>
                  <w:vAlign w:val="center"/>
                </w:tcPr>
                <w:p w14:paraId="084D93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414" w:type="pct"/>
                  <w:vMerge w:val="continue"/>
                  <w:tcBorders>
                    <w:tl2br w:val="nil"/>
                    <w:tr2bl w:val="nil"/>
                  </w:tcBorders>
                  <w:noWrap w:val="0"/>
                  <w:vAlign w:val="center"/>
                </w:tcPr>
                <w:p w14:paraId="2EBD150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8" w:type="pct"/>
                  <w:vMerge w:val="continue"/>
                  <w:tcBorders>
                    <w:tl2br w:val="nil"/>
                    <w:tr2bl w:val="nil"/>
                  </w:tcBorders>
                  <w:noWrap w:val="0"/>
                  <w:vAlign w:val="center"/>
                </w:tcPr>
                <w:p w14:paraId="5184B10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5B0D23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249" w:type="pct"/>
                  <w:tcBorders>
                    <w:tl2br w:val="nil"/>
                    <w:tr2bl w:val="nil"/>
                  </w:tcBorders>
                  <w:noWrap w:val="0"/>
                  <w:vAlign w:val="center"/>
                </w:tcPr>
                <w:p w14:paraId="481B1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93" w:type="pct"/>
                  <w:vMerge w:val="continue"/>
                  <w:tcBorders>
                    <w:tl2br w:val="nil"/>
                    <w:tr2bl w:val="nil"/>
                  </w:tcBorders>
                  <w:noWrap w:val="0"/>
                  <w:vAlign w:val="center"/>
                </w:tcPr>
                <w:p w14:paraId="4786A5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30" w:type="pct"/>
                  <w:vMerge w:val="continue"/>
                  <w:tcBorders>
                    <w:tl2br w:val="nil"/>
                    <w:tr2bl w:val="nil"/>
                  </w:tcBorders>
                  <w:noWrap w:val="0"/>
                  <w:vAlign w:val="center"/>
                </w:tcPr>
                <w:p w14:paraId="7D65DC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00" w:type="pct"/>
                  <w:tcBorders>
                    <w:tl2br w:val="nil"/>
                    <w:tr2bl w:val="nil"/>
                  </w:tcBorders>
                  <w:noWrap w:val="0"/>
                  <w:vAlign w:val="center"/>
                </w:tcPr>
                <w:p w14:paraId="7BB403E2">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五日生化需氧量</w:t>
                  </w:r>
                </w:p>
              </w:tc>
              <w:tc>
                <w:tcPr>
                  <w:tcW w:w="1342" w:type="pct"/>
                  <w:tcBorders>
                    <w:tl2br w:val="nil"/>
                    <w:tr2bl w:val="nil"/>
                  </w:tcBorders>
                  <w:noWrap w:val="0"/>
                  <w:vAlign w:val="center"/>
                </w:tcPr>
                <w:p w14:paraId="35CC73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污水综合排放标准（GB8978-1996）三级标准</w:t>
                  </w:r>
                </w:p>
              </w:tc>
              <w:tc>
                <w:tcPr>
                  <w:tcW w:w="561" w:type="pct"/>
                  <w:tcBorders>
                    <w:tl2br w:val="nil"/>
                    <w:tr2bl w:val="nil"/>
                  </w:tcBorders>
                  <w:noWrap w:val="0"/>
                  <w:vAlign w:val="center"/>
                </w:tcPr>
                <w:p w14:paraId="0869B2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300mg/L</w:t>
                  </w:r>
                </w:p>
              </w:tc>
              <w:tc>
                <w:tcPr>
                  <w:tcW w:w="348" w:type="pct"/>
                  <w:tcBorders>
                    <w:tl2br w:val="nil"/>
                    <w:tr2bl w:val="nil"/>
                  </w:tcBorders>
                  <w:noWrap w:val="0"/>
                  <w:vAlign w:val="center"/>
                </w:tcPr>
                <w:p w14:paraId="1FE878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414" w:type="pct"/>
                  <w:vMerge w:val="continue"/>
                  <w:tcBorders>
                    <w:tl2br w:val="nil"/>
                    <w:tr2bl w:val="nil"/>
                  </w:tcBorders>
                  <w:noWrap w:val="0"/>
                  <w:vAlign w:val="center"/>
                </w:tcPr>
                <w:p w14:paraId="2A68E6C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8" w:type="pct"/>
                  <w:vMerge w:val="continue"/>
                  <w:tcBorders>
                    <w:tl2br w:val="nil"/>
                    <w:tr2bl w:val="nil"/>
                  </w:tcBorders>
                  <w:noWrap w:val="0"/>
                  <w:vAlign w:val="center"/>
                </w:tcPr>
                <w:p w14:paraId="10CD777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0C2528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249" w:type="pct"/>
                  <w:tcBorders>
                    <w:tl2br w:val="nil"/>
                    <w:tr2bl w:val="nil"/>
                  </w:tcBorders>
                  <w:noWrap w:val="0"/>
                  <w:vAlign w:val="center"/>
                </w:tcPr>
                <w:p w14:paraId="0E9A5D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8</w:t>
                  </w:r>
                </w:p>
              </w:tc>
              <w:tc>
                <w:tcPr>
                  <w:tcW w:w="493" w:type="pct"/>
                  <w:vMerge w:val="continue"/>
                  <w:tcBorders>
                    <w:tl2br w:val="nil"/>
                    <w:tr2bl w:val="nil"/>
                  </w:tcBorders>
                  <w:noWrap w:val="0"/>
                  <w:vAlign w:val="center"/>
                </w:tcPr>
                <w:p w14:paraId="420A5B6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30" w:type="pct"/>
                  <w:vMerge w:val="continue"/>
                  <w:tcBorders>
                    <w:tl2br w:val="nil"/>
                    <w:tr2bl w:val="nil"/>
                  </w:tcBorders>
                  <w:noWrap w:val="0"/>
                  <w:vAlign w:val="center"/>
                </w:tcPr>
                <w:p w14:paraId="1DCC47F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00" w:type="pct"/>
                  <w:tcBorders>
                    <w:tl2br w:val="nil"/>
                    <w:tr2bl w:val="nil"/>
                  </w:tcBorders>
                  <w:noWrap w:val="0"/>
                  <w:vAlign w:val="center"/>
                </w:tcPr>
                <w:p w14:paraId="33C8B2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1342" w:type="pct"/>
                  <w:tcBorders>
                    <w:tl2br w:val="nil"/>
                    <w:tr2bl w:val="nil"/>
                  </w:tcBorders>
                  <w:noWrap w:val="0"/>
                  <w:vAlign w:val="center"/>
                </w:tcPr>
                <w:p w14:paraId="5B0AE6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污水排入城镇下水道水质标准GB/T31962-2015</w:t>
                  </w:r>
                </w:p>
              </w:tc>
              <w:tc>
                <w:tcPr>
                  <w:tcW w:w="561" w:type="pct"/>
                  <w:tcBorders>
                    <w:tl2br w:val="nil"/>
                    <w:tr2bl w:val="nil"/>
                  </w:tcBorders>
                  <w:noWrap w:val="0"/>
                  <w:vAlign w:val="center"/>
                </w:tcPr>
                <w:p w14:paraId="6431D0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45mg/L</w:t>
                  </w:r>
                </w:p>
              </w:tc>
              <w:tc>
                <w:tcPr>
                  <w:tcW w:w="348" w:type="pct"/>
                  <w:tcBorders>
                    <w:tl2br w:val="nil"/>
                    <w:tr2bl w:val="nil"/>
                  </w:tcBorders>
                  <w:noWrap w:val="0"/>
                  <w:vAlign w:val="center"/>
                </w:tcPr>
                <w:p w14:paraId="213BAA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414" w:type="pct"/>
                  <w:vMerge w:val="continue"/>
                  <w:tcBorders>
                    <w:tl2br w:val="nil"/>
                    <w:tr2bl w:val="nil"/>
                  </w:tcBorders>
                  <w:noWrap w:val="0"/>
                  <w:vAlign w:val="center"/>
                </w:tcPr>
                <w:p w14:paraId="345D16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8" w:type="pct"/>
                  <w:vMerge w:val="continue"/>
                  <w:tcBorders>
                    <w:tl2br w:val="nil"/>
                    <w:tr2bl w:val="nil"/>
                  </w:tcBorders>
                  <w:noWrap w:val="0"/>
                  <w:vAlign w:val="center"/>
                </w:tcPr>
                <w:p w14:paraId="39CDDDD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026FB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49" w:type="pct"/>
                  <w:tcBorders>
                    <w:tl2br w:val="nil"/>
                    <w:tr2bl w:val="nil"/>
                  </w:tcBorders>
                  <w:noWrap w:val="0"/>
                  <w:vAlign w:val="center"/>
                </w:tcPr>
                <w:p w14:paraId="520CEE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493" w:type="pct"/>
                  <w:vMerge w:val="continue"/>
                  <w:tcBorders>
                    <w:tl2br w:val="nil"/>
                    <w:tr2bl w:val="nil"/>
                  </w:tcBorders>
                  <w:noWrap w:val="0"/>
                  <w:vAlign w:val="center"/>
                </w:tcPr>
                <w:p w14:paraId="1B1D1EB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30" w:type="pct"/>
                  <w:vMerge w:val="continue"/>
                  <w:tcBorders>
                    <w:tl2br w:val="nil"/>
                    <w:tr2bl w:val="nil"/>
                  </w:tcBorders>
                  <w:noWrap w:val="0"/>
                  <w:vAlign w:val="center"/>
                </w:tcPr>
                <w:p w14:paraId="075917F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00" w:type="pct"/>
                  <w:tcBorders>
                    <w:tl2br w:val="nil"/>
                    <w:tr2bl w:val="nil"/>
                  </w:tcBorders>
                  <w:noWrap w:val="0"/>
                  <w:vAlign w:val="center"/>
                </w:tcPr>
                <w:p w14:paraId="6EC3B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总磷</w:t>
                  </w:r>
                </w:p>
                <w:p w14:paraId="5C77ED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以P计)</w:t>
                  </w:r>
                </w:p>
              </w:tc>
              <w:tc>
                <w:tcPr>
                  <w:tcW w:w="1342" w:type="pct"/>
                  <w:tcBorders>
                    <w:tl2br w:val="nil"/>
                    <w:tr2bl w:val="nil"/>
                  </w:tcBorders>
                  <w:noWrap w:val="0"/>
                  <w:vAlign w:val="center"/>
                </w:tcPr>
                <w:p w14:paraId="37173E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污水排入城镇下水道水质标准GB/T31962-2015</w:t>
                  </w:r>
                </w:p>
              </w:tc>
              <w:tc>
                <w:tcPr>
                  <w:tcW w:w="561" w:type="pct"/>
                  <w:tcBorders>
                    <w:tl2br w:val="nil"/>
                    <w:tr2bl w:val="nil"/>
                  </w:tcBorders>
                  <w:noWrap w:val="0"/>
                  <w:vAlign w:val="center"/>
                </w:tcPr>
                <w:p w14:paraId="68D24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8mg/L</w:t>
                  </w:r>
                </w:p>
              </w:tc>
              <w:tc>
                <w:tcPr>
                  <w:tcW w:w="348" w:type="pct"/>
                  <w:tcBorders>
                    <w:tl2br w:val="nil"/>
                    <w:tr2bl w:val="nil"/>
                  </w:tcBorders>
                  <w:noWrap w:val="0"/>
                  <w:vAlign w:val="center"/>
                </w:tcPr>
                <w:p w14:paraId="1CC04C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达标</w:t>
                  </w:r>
                </w:p>
              </w:tc>
              <w:tc>
                <w:tcPr>
                  <w:tcW w:w="414" w:type="pct"/>
                  <w:vMerge w:val="continue"/>
                  <w:tcBorders>
                    <w:tl2br w:val="nil"/>
                    <w:tr2bl w:val="nil"/>
                  </w:tcBorders>
                  <w:noWrap w:val="0"/>
                  <w:vAlign w:val="center"/>
                </w:tcPr>
                <w:p w14:paraId="7FEC9D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58" w:type="pct"/>
                  <w:vMerge w:val="continue"/>
                  <w:tcBorders>
                    <w:tl2br w:val="nil"/>
                    <w:tr2bl w:val="nil"/>
                  </w:tcBorders>
                  <w:noWrap w:val="0"/>
                  <w:vAlign w:val="center"/>
                </w:tcPr>
                <w:p w14:paraId="69CB8A4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bl>
          <w:p w14:paraId="745AA7EA">
            <w:pPr>
              <w:spacing w:line="360" w:lineRule="auto"/>
              <w:ind w:firstLine="480"/>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14:textFill>
                  <w14:solidFill>
                    <w14:schemeClr w14:val="tx1"/>
                  </w14:solidFill>
                </w14:textFill>
              </w:rPr>
              <w:t>污废水处理措施可行性</w:t>
            </w:r>
          </w:p>
          <w:p w14:paraId="1411FE98">
            <w:pPr>
              <w:spacing w:line="360" w:lineRule="auto"/>
              <w:ind w:firstLine="482" w:firstLine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1）生产废水可行性分析</w:t>
            </w:r>
          </w:p>
          <w:p w14:paraId="6F241423">
            <w:pPr>
              <w:spacing w:line="360" w:lineRule="auto"/>
              <w:ind w:firstLine="480" w:firstLineChars="200"/>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本项目搅拌设备清洗废水、车辆清洗废水、搅拌设备清洗废水、地面冲洗废水主要污染物为SS，水质成分简单，经沉淀池处理后回用不外排，废水循环利用，可减少水资源使用及损耗，该处理方式可行。</w:t>
            </w:r>
          </w:p>
          <w:p w14:paraId="431CF432">
            <w:pPr>
              <w:spacing w:line="360" w:lineRule="auto"/>
              <w:ind w:firstLine="482" w:firstLine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2）生活污水及食堂废水处理可行性分析</w:t>
            </w:r>
          </w:p>
          <w:p w14:paraId="6F5D06C9">
            <w:pPr>
              <w:spacing w:line="360" w:lineRule="auto"/>
              <w:ind w:firstLine="482" w:firstLineChars="200"/>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污水预处理池可行性分析：</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项目生活污水含冲厕废水、食堂废水，总废水产生量为0.9945m³/d，其中食堂废水先采用隔油器（容积为1m³）处理，然后与生活污水采用预处理池（容积为10m³）预处理。</w:t>
            </w:r>
          </w:p>
          <w:p w14:paraId="48BC6A92">
            <w:pPr>
              <w:spacing w:line="360" w:lineRule="auto"/>
              <w:ind w:firstLine="480" w:firstLine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根据《建筑给排水设计规范》要求隔油池水力停留时间不小于0.5h，预处理池水力停留时间不小于24h。项目厨房废水0.45m³/d，厨房废水高峰期取3h，则厨房废水产生约0.15m³/h，产生的厨房废水能够在隔油器内停留约4.5h，满足水力停留时间，能达到除油效果；项目总生活污水量约0.9945m³/d，项目设置的预处理池能够满足其余部分生活污水水力停留时间，达到预处理的效果。综上项目设置的隔油器和预处理池容积是合理的。</w:t>
            </w:r>
          </w:p>
          <w:p w14:paraId="133C803E">
            <w:pPr>
              <w:spacing w:line="360" w:lineRule="auto"/>
              <w:ind w:firstLine="482" w:firstLine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3）初期雨水处理可行性分析</w:t>
            </w:r>
          </w:p>
          <w:p w14:paraId="356A8C29">
            <w:pPr>
              <w:spacing w:line="360" w:lineRule="auto"/>
              <w:ind w:firstLine="480" w:firstLineChars="200"/>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初期雨水主要污染因子为SS，水质简单，经沉淀处理后，可回用于降尘。</w:t>
            </w:r>
          </w:p>
          <w:p w14:paraId="1CBF7207">
            <w:pPr>
              <w:spacing w:line="360" w:lineRule="auto"/>
              <w:ind w:firstLine="482" w:firstLineChars="200"/>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甘孜县县城污水处理厂</w:t>
            </w:r>
            <w:r>
              <w:rPr>
                <w:rFonts w:hint="default" w:ascii="Times New Roman" w:hAnsi="Times New Roman" w:cs="Times New Roman"/>
                <w:b/>
                <w:bCs/>
                <w:color w:val="000000" w:themeColor="text1"/>
                <w:sz w:val="24"/>
                <w:highlight w:val="none"/>
                <w:lang w:eastAsia="zh-CN"/>
                <w14:textFill>
                  <w14:solidFill>
                    <w14:schemeClr w14:val="tx1"/>
                  </w14:solidFill>
                </w14:textFill>
              </w:rPr>
              <w:t>概况：</w:t>
            </w:r>
          </w:p>
          <w:p w14:paraId="088B6311">
            <w:pPr>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甘孜县县城污水处理厂位于甘孜县斯俄乡街村，总占地面14.2 亩 。工程总处理能力</w:t>
            </w:r>
            <w:r>
              <w:rPr>
                <w:rFonts w:hint="eastAsia" w:cs="Times New Roman"/>
                <w:color w:val="000000" w:themeColor="text1"/>
                <w:sz w:val="24"/>
                <w:highlight w:val="none"/>
                <w:lang w:val="en-US" w:eastAsia="zh-CN"/>
                <w14:textFill>
                  <w14:solidFill>
                    <w14:schemeClr w14:val="tx1"/>
                  </w14:solidFill>
                </w14:textFill>
              </w:rPr>
              <w:t>12500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d，采用“生物流化床+生物滤池处理”工艺，收集范围为甘孜县县城生活污水。污水经管网收集后进入污水处理厂，再通过提升泵，提升至污水处理系统处理达标后最终排入雅砻江。出水水质执行《城镇污水处理厂排放标准（GB1898-2002）》中一级 B 标要求。本污水处理厂处理的废水为县城生活污水</w:t>
            </w:r>
            <w:r>
              <w:rPr>
                <w:rFonts w:hint="eastAsia" w:cs="Times New Roman"/>
                <w:color w:val="000000" w:themeColor="text1"/>
                <w:sz w:val="24"/>
                <w:highlight w:val="none"/>
                <w:lang w:eastAsia="zh-CN"/>
                <w14:textFill>
                  <w14:solidFill>
                    <w14:schemeClr w14:val="tx1"/>
                  </w14:solidFill>
                </w14:textFill>
              </w:rPr>
              <w:t>。</w:t>
            </w:r>
          </w:p>
          <w:p w14:paraId="0ACB09BF">
            <w:pPr>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本项目位于四川省甘孜藏族自治州甘孜镇斯俄村新改317公路西北侧，项目周边污水管网已建成，具备纳管条件。</w:t>
            </w:r>
          </w:p>
          <w:p w14:paraId="5A8D06F4">
            <w:pPr>
              <w:bidi w:val="0"/>
              <w:spacing w:line="360" w:lineRule="auto"/>
              <w:ind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排放口基本情况及监测要求</w:t>
            </w:r>
          </w:p>
          <w:p w14:paraId="6B772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根据《排污单位自行监测技术指南 总则》（HJ 819-2017）、《排污许可证申请与核发技术规范 总则》（HJ 942-2018）</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，制定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本项目污染源监测计划，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建设单位需保证按监测计划实施。建设单位需保证按监测计划实施。监测分析方法按照现行国家、标准和有关规定执行，本项目废水污染物监测要求详见表4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F37FFF8">
            <w:pPr>
              <w:pStyle w:val="3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4-14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自行监测计划表</w:t>
            </w:r>
          </w:p>
          <w:tbl>
            <w:tblPr>
              <w:tblStyle w:val="35"/>
              <w:tblW w:w="8139"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1"/>
              <w:gridCol w:w="1628"/>
              <w:gridCol w:w="1736"/>
              <w:gridCol w:w="1103"/>
              <w:gridCol w:w="3071"/>
            </w:tblGrid>
            <w:tr w14:paraId="0D6757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601" w:type="dxa"/>
                  <w:tcBorders>
                    <w:tl2br w:val="nil"/>
                    <w:tr2bl w:val="nil"/>
                  </w:tcBorders>
                  <w:noWrap w:val="0"/>
                  <w:tcMar>
                    <w:top w:w="15" w:type="dxa"/>
                    <w:left w:w="15" w:type="dxa"/>
                    <w:right w:w="15" w:type="dxa"/>
                  </w:tcMar>
                  <w:vAlign w:val="center"/>
                </w:tcPr>
                <w:p w14:paraId="0005D18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类型</w:t>
                  </w:r>
                </w:p>
              </w:tc>
              <w:tc>
                <w:tcPr>
                  <w:tcW w:w="1628" w:type="dxa"/>
                  <w:tcBorders>
                    <w:tl2br w:val="nil"/>
                    <w:tr2bl w:val="nil"/>
                  </w:tcBorders>
                  <w:noWrap w:val="0"/>
                  <w:tcMar>
                    <w:top w:w="15" w:type="dxa"/>
                    <w:left w:w="15" w:type="dxa"/>
                    <w:right w:w="15" w:type="dxa"/>
                  </w:tcMar>
                  <w:vAlign w:val="center"/>
                </w:tcPr>
                <w:p w14:paraId="6D8212F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监测点位</w:t>
                  </w:r>
                </w:p>
              </w:tc>
              <w:tc>
                <w:tcPr>
                  <w:tcW w:w="1736" w:type="dxa"/>
                  <w:tcBorders>
                    <w:tl2br w:val="nil"/>
                    <w:tr2bl w:val="nil"/>
                  </w:tcBorders>
                  <w:noWrap w:val="0"/>
                  <w:tcMar>
                    <w:top w:w="15" w:type="dxa"/>
                    <w:left w:w="15" w:type="dxa"/>
                    <w:right w:w="15" w:type="dxa"/>
                  </w:tcMar>
                  <w:vAlign w:val="center"/>
                </w:tcPr>
                <w:p w14:paraId="4779CCA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监测因子</w:t>
                  </w:r>
                </w:p>
              </w:tc>
              <w:tc>
                <w:tcPr>
                  <w:tcW w:w="1103" w:type="dxa"/>
                  <w:tcBorders>
                    <w:tl2br w:val="nil"/>
                    <w:tr2bl w:val="nil"/>
                  </w:tcBorders>
                  <w:noWrap w:val="0"/>
                  <w:tcMar>
                    <w:top w:w="15" w:type="dxa"/>
                    <w:left w:w="15" w:type="dxa"/>
                    <w:right w:w="15" w:type="dxa"/>
                  </w:tcMar>
                  <w:vAlign w:val="center"/>
                </w:tcPr>
                <w:p w14:paraId="7CBAB1E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监测频次</w:t>
                  </w:r>
                </w:p>
              </w:tc>
              <w:tc>
                <w:tcPr>
                  <w:tcW w:w="3071" w:type="dxa"/>
                  <w:tcBorders>
                    <w:tl2br w:val="nil"/>
                    <w:tr2bl w:val="nil"/>
                  </w:tcBorders>
                  <w:noWrap w:val="0"/>
                  <w:vAlign w:val="center"/>
                </w:tcPr>
                <w:p w14:paraId="743FEE3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执行排放标准</w:t>
                  </w:r>
                </w:p>
              </w:tc>
            </w:tr>
            <w:tr w14:paraId="7E5D8F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601" w:type="dxa"/>
                  <w:tcBorders>
                    <w:tl2br w:val="nil"/>
                    <w:tr2bl w:val="nil"/>
                  </w:tcBorders>
                  <w:noWrap w:val="0"/>
                  <w:tcMar>
                    <w:top w:w="15" w:type="dxa"/>
                    <w:left w:w="15" w:type="dxa"/>
                    <w:right w:w="15" w:type="dxa"/>
                  </w:tcMar>
                  <w:vAlign w:val="center"/>
                </w:tcPr>
                <w:p w14:paraId="0F190C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废水</w:t>
                  </w:r>
                </w:p>
              </w:tc>
              <w:tc>
                <w:tcPr>
                  <w:tcW w:w="1628" w:type="dxa"/>
                  <w:tcBorders>
                    <w:tl2br w:val="nil"/>
                    <w:tr2bl w:val="nil"/>
                  </w:tcBorders>
                  <w:noWrap w:val="0"/>
                  <w:tcMar>
                    <w:top w:w="15" w:type="dxa"/>
                    <w:left w:w="15" w:type="dxa"/>
                    <w:right w:w="15" w:type="dxa"/>
                  </w:tcMar>
                  <w:vAlign w:val="center"/>
                </w:tcPr>
                <w:p w14:paraId="5E45CB3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污水处理站排放口</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DW001</w:t>
                  </w:r>
                </w:p>
              </w:tc>
              <w:tc>
                <w:tcPr>
                  <w:tcW w:w="1736" w:type="dxa"/>
                  <w:tcBorders>
                    <w:tl2br w:val="nil"/>
                    <w:tr2bl w:val="nil"/>
                  </w:tcBorders>
                  <w:noWrap w:val="0"/>
                  <w:tcMar>
                    <w:top w:w="15" w:type="dxa"/>
                    <w:left w:w="15" w:type="dxa"/>
                    <w:right w:w="15" w:type="dxa"/>
                  </w:tcMar>
                  <w:vAlign w:val="center"/>
                </w:tcPr>
                <w:p w14:paraId="78A3992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化学需氧量、五日生化需氧量、氨氮、总磷、总氮、悬浮物</w:t>
                  </w:r>
                </w:p>
              </w:tc>
              <w:tc>
                <w:tcPr>
                  <w:tcW w:w="1103" w:type="dxa"/>
                  <w:tcBorders>
                    <w:tl2br w:val="nil"/>
                    <w:tr2bl w:val="nil"/>
                  </w:tcBorders>
                  <w:noWrap w:val="0"/>
                  <w:tcMar>
                    <w:top w:w="15" w:type="dxa"/>
                    <w:left w:w="15" w:type="dxa"/>
                    <w:right w:w="15" w:type="dxa"/>
                  </w:tcMar>
                  <w:vAlign w:val="center"/>
                </w:tcPr>
                <w:p w14:paraId="16807DE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1次/</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半</w:t>
                  </w:r>
                  <w:r>
                    <w:rPr>
                      <w:rFonts w:hint="default" w:ascii="Times New Roman" w:hAnsi="Times New Roman" w:cs="Times New Roman"/>
                      <w:color w:val="000000" w:themeColor="text1"/>
                      <w:kern w:val="0"/>
                      <w:sz w:val="21"/>
                      <w:szCs w:val="21"/>
                      <w:highlight w:val="none"/>
                      <w14:textFill>
                        <w14:solidFill>
                          <w14:schemeClr w14:val="tx1"/>
                        </w14:solidFill>
                      </w14:textFill>
                    </w:rPr>
                    <w:t>年</w:t>
                  </w:r>
                </w:p>
              </w:tc>
              <w:tc>
                <w:tcPr>
                  <w:tcW w:w="3071" w:type="dxa"/>
                  <w:tcBorders>
                    <w:tl2br w:val="nil"/>
                    <w:tr2bl w:val="nil"/>
                  </w:tcBorders>
                  <w:noWrap w:val="0"/>
                  <w:vAlign w:val="center"/>
                </w:tcPr>
                <w:p w14:paraId="4F4947E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执行《污水综合排放标准》（GB8978-1996）中三级标准，氨氮、总磷参照《污水排入城镇下水道水质标准》（GB/T31962-2015）</w:t>
                  </w:r>
                </w:p>
              </w:tc>
            </w:tr>
          </w:tbl>
          <w:p w14:paraId="2FAC150F">
            <w:pPr>
              <w:keepNext w:val="0"/>
              <w:keepLines w:val="0"/>
              <w:pageBreakBefore w:val="0"/>
              <w:widowControl w:val="0"/>
              <w:tabs>
                <w:tab w:val="left" w:pos="2550"/>
              </w:tabs>
              <w:kinsoku/>
              <w:wordWrap/>
              <w:overflowPunct/>
              <w:topLinePunct w:val="0"/>
              <w:autoSpaceDE/>
              <w:autoSpaceDN/>
              <w:bidi w:val="0"/>
              <w:adjustRightInd/>
              <w:snapToGrid/>
              <w:spacing w:beforeLines="0" w:beforeAutospacing="0" w:afterLines="0" w:afterAutospacing="0" w:line="360" w:lineRule="auto"/>
              <w:ind w:firstLine="482" w:firstLineChars="200"/>
              <w:jc w:val="both"/>
              <w:rPr>
                <w:rFonts w:hint="default" w:ascii="Times New Roman" w:hAnsi="Times New Roman" w:eastAsia="宋体" w:cs="Times New Roman"/>
                <w:b/>
                <w:bCs/>
                <w:i w:val="0"/>
                <w:iCs w:val="0"/>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i w:val="0"/>
                <w:iCs w:val="0"/>
                <w:snapToGrid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i w:val="0"/>
                <w:iCs w:val="0"/>
                <w:snapToGrid w:val="0"/>
                <w:color w:val="000000" w:themeColor="text1"/>
                <w:sz w:val="24"/>
                <w:szCs w:val="24"/>
                <w:highlight w:val="none"/>
                <w:lang w:eastAsia="zh-CN"/>
                <w14:textFill>
                  <w14:solidFill>
                    <w14:schemeClr w14:val="tx1"/>
                  </w14:solidFill>
                </w14:textFill>
              </w:rPr>
              <w:t>、噪声</w:t>
            </w:r>
          </w:p>
          <w:p w14:paraId="7AA9B5F4">
            <w:pPr>
              <w:keepNext w:val="0"/>
              <w:keepLines w:val="0"/>
              <w:pageBreakBefore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
                <w:bCs w:val="0"/>
                <w:i w:val="0"/>
                <w:i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i w:val="0"/>
                <w:iCs w:val="0"/>
                <w:color w:val="000000" w:themeColor="text1"/>
                <w:sz w:val="24"/>
                <w:szCs w:val="24"/>
                <w:highlight w:val="none"/>
                <w14:textFill>
                  <w14:solidFill>
                    <w14:schemeClr w14:val="tx1"/>
                  </w14:solidFill>
                </w14:textFill>
              </w:rPr>
              <w:t>（1）噪声源强核算及治理措施</w:t>
            </w:r>
          </w:p>
          <w:p w14:paraId="272226EA">
            <w:pPr>
              <w:keepNext w:val="0"/>
              <w:keepLines w:val="0"/>
              <w:pageBreakBefore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t>厂区主要噪声源来自运输车辆的交通噪声及加工设备的机械噪声。运输车辆的交通噪声属于线源污染，对周围声环境的影响是局部。因此，本项目对厂区内的加工设备噪声进行简要的预测分析，选择点声源预测模式模拟预测这些声源排放噪声随距离的衰减变化规律。通过厂房隔声、基础减振、距离衰减</w:t>
            </w:r>
            <w:r>
              <w:rPr>
                <w:rFonts w:hint="default" w:ascii="Times New Roman" w:hAnsi="Times New Roman" w:eastAsia="宋体" w:cs="Times New Roman"/>
                <w:bCs/>
                <w:i w:val="0"/>
                <w:iCs w:val="0"/>
                <w:color w:val="000000" w:themeColor="text1"/>
                <w:sz w:val="24"/>
                <w:szCs w:val="24"/>
                <w:highlight w:val="none"/>
                <w:lang w:val="en-US" w:eastAsia="zh-CN"/>
                <w14:textFill>
                  <w14:solidFill>
                    <w14:schemeClr w14:val="tx1"/>
                  </w14:solidFill>
                </w14:textFill>
              </w:rPr>
              <w:t>等措施</w:t>
            </w:r>
            <w:r>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t>可使设备噪声降低20dB（A）。</w:t>
            </w:r>
          </w:p>
          <w:p w14:paraId="10A6A0F7">
            <w:pPr>
              <w:keepNext w:val="0"/>
              <w:keepLines w:val="0"/>
              <w:pageBreakBefore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Cs/>
                <w:i w:val="0"/>
                <w:iCs w:val="0"/>
                <w:color w:val="000000" w:themeColor="text1"/>
                <w:sz w:val="24"/>
                <w:szCs w:val="24"/>
                <w:highlight w:val="none"/>
                <w:lang w:val="en-US" w:eastAsia="zh-CN"/>
                <w14:textFill>
                  <w14:solidFill>
                    <w14:schemeClr w14:val="tx1"/>
                  </w14:solidFill>
                </w14:textFill>
              </w:rPr>
              <w:t>本项目噪声源强见下表</w:t>
            </w:r>
            <w:r>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t>。</w:t>
            </w:r>
          </w:p>
          <w:p w14:paraId="06035B3A">
            <w:pPr>
              <w:keepNext w:val="0"/>
              <w:keepLines w:val="0"/>
              <w:pageBreakBefore w:val="0"/>
              <w:widowControl w:val="0"/>
              <w:numPr>
                <w:ilvl w:val="0"/>
                <w:numId w:val="0"/>
              </w:numPr>
              <w:kinsoku/>
              <w:wordWrap/>
              <w:overflowPunct/>
              <w:topLinePunct w:val="0"/>
              <w:autoSpaceDE/>
              <w:autoSpaceDN/>
              <w:bidi w:val="0"/>
              <w:adjustRightInd w:val="0"/>
              <w:snapToGrid/>
              <w:spacing w:before="0" w:beforeLines="0" w:after="0" w:afterLines="0" w:line="240" w:lineRule="auto"/>
              <w:ind w:left="0"/>
              <w:jc w:val="center"/>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t>表4-</w:t>
            </w:r>
            <w:r>
              <w:rPr>
                <w:rFonts w:hint="eastAsia" w:cs="Times New Roman"/>
                <w:b/>
                <w:bCs/>
                <w:color w:val="000000" w:themeColor="text1"/>
                <w:kern w:val="21"/>
                <w:sz w:val="21"/>
                <w:szCs w:val="21"/>
                <w:highlight w:val="none"/>
                <w:lang w:val="en-US" w:eastAsia="zh-CN"/>
                <w14:textFill>
                  <w14:solidFill>
                    <w14:schemeClr w14:val="tx1"/>
                  </w14:solidFill>
                </w14:textFill>
              </w:rPr>
              <w:t>15</w:t>
            </w:r>
            <w:r>
              <w:rPr>
                <w:rFonts w:hint="default" w:ascii="Times New Roman" w:hAnsi="Times New Roman" w:cs="Times New Roman"/>
                <w:b/>
                <w:bCs/>
                <w:color w:val="000000" w:themeColor="text1"/>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t>本</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噪声</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源强调查清单（室</w:t>
            </w:r>
            <w:r>
              <w:rPr>
                <w:rFonts w:hint="default" w:ascii="Times New Roman" w:hAnsi="Times New Roman" w:cs="Times New Roman"/>
                <w:b/>
                <w:bCs/>
                <w:color w:val="000000" w:themeColor="text1"/>
                <w:kern w:val="21"/>
                <w:sz w:val="21"/>
                <w:szCs w:val="21"/>
                <w:highlight w:val="none"/>
                <w:lang w:val="en-US" w:eastAsia="zh-CN"/>
                <w14:textFill>
                  <w14:solidFill>
                    <w14:schemeClr w14:val="tx1"/>
                  </w14:solidFill>
                </w14:textFill>
              </w:rPr>
              <w:t>内</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声源）</w:t>
            </w:r>
          </w:p>
          <w:tbl>
            <w:tblPr>
              <w:tblStyle w:val="35"/>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7"/>
              <w:gridCol w:w="330"/>
              <w:gridCol w:w="570"/>
              <w:gridCol w:w="441"/>
              <w:gridCol w:w="663"/>
              <w:gridCol w:w="791"/>
              <w:gridCol w:w="529"/>
              <w:gridCol w:w="626"/>
              <w:gridCol w:w="314"/>
              <w:gridCol w:w="480"/>
              <w:gridCol w:w="663"/>
              <w:gridCol w:w="405"/>
              <w:gridCol w:w="663"/>
              <w:gridCol w:w="663"/>
              <w:gridCol w:w="653"/>
            </w:tblGrid>
            <w:tr w14:paraId="7C49D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168" w:type="pct"/>
                  <w:vMerge w:val="restart"/>
                  <w:tcBorders>
                    <w:tl2br w:val="nil"/>
                    <w:tr2bl w:val="nil"/>
                  </w:tcBorders>
                  <w:shd w:val="clear" w:color="auto" w:fill="auto"/>
                  <w:noWrap w:val="0"/>
                  <w:tcMar>
                    <w:left w:w="28" w:type="dxa"/>
                    <w:right w:w="28" w:type="dxa"/>
                  </w:tcMar>
                  <w:vAlign w:val="center"/>
                </w:tcPr>
                <w:p w14:paraId="358A023F">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序号</w:t>
                  </w:r>
                </w:p>
              </w:tc>
              <w:tc>
                <w:tcPr>
                  <w:tcW w:w="272" w:type="pct"/>
                  <w:vMerge w:val="restart"/>
                  <w:tcBorders>
                    <w:tl2br w:val="nil"/>
                    <w:tr2bl w:val="nil"/>
                  </w:tcBorders>
                  <w:shd w:val="clear" w:color="auto" w:fill="auto"/>
                  <w:noWrap w:val="0"/>
                  <w:tcMar>
                    <w:left w:w="28" w:type="dxa"/>
                    <w:right w:w="28" w:type="dxa"/>
                  </w:tcMar>
                  <w:vAlign w:val="center"/>
                </w:tcPr>
                <w:p w14:paraId="5760994D">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建筑物名称</w:t>
                  </w:r>
                </w:p>
              </w:tc>
              <w:tc>
                <w:tcPr>
                  <w:tcW w:w="388" w:type="pct"/>
                  <w:vMerge w:val="restart"/>
                  <w:tcBorders>
                    <w:tl2br w:val="nil"/>
                    <w:tr2bl w:val="nil"/>
                  </w:tcBorders>
                  <w:shd w:val="clear" w:color="auto" w:fill="auto"/>
                  <w:noWrap w:val="0"/>
                  <w:tcMar>
                    <w:left w:w="28" w:type="dxa"/>
                    <w:right w:w="28" w:type="dxa"/>
                  </w:tcMar>
                  <w:vAlign w:val="center"/>
                </w:tcPr>
                <w:p w14:paraId="52EF0834">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t>声源名称</w:t>
                  </w:r>
                </w:p>
              </w:tc>
              <w:tc>
                <w:tcPr>
                  <w:tcW w:w="308" w:type="pct"/>
                  <w:vMerge w:val="restart"/>
                  <w:tcBorders>
                    <w:tl2br w:val="nil"/>
                    <w:tr2bl w:val="nil"/>
                  </w:tcBorders>
                  <w:shd w:val="clear" w:color="auto" w:fill="auto"/>
                  <w:noWrap w:val="0"/>
                  <w:tcMar>
                    <w:left w:w="28" w:type="dxa"/>
                    <w:right w:w="28" w:type="dxa"/>
                  </w:tcMar>
                  <w:vAlign w:val="center"/>
                </w:tcPr>
                <w:p w14:paraId="64F4C0D8">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型号</w:t>
                  </w:r>
                </w:p>
              </w:tc>
              <w:tc>
                <w:tcPr>
                  <w:tcW w:w="355" w:type="pct"/>
                  <w:vMerge w:val="restart"/>
                  <w:tcBorders>
                    <w:tl2br w:val="nil"/>
                    <w:tr2bl w:val="nil"/>
                  </w:tcBorders>
                  <w:shd w:val="clear" w:color="auto" w:fill="auto"/>
                  <w:noWrap w:val="0"/>
                  <w:tcMar>
                    <w:left w:w="28" w:type="dxa"/>
                    <w:right w:w="28" w:type="dxa"/>
                  </w:tcMar>
                  <w:vAlign w:val="center"/>
                </w:tcPr>
                <w:p w14:paraId="3BF6A47A">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声压级/</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dB(</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A</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w:t>
                  </w:r>
                </w:p>
              </w:tc>
              <w:tc>
                <w:tcPr>
                  <w:tcW w:w="525" w:type="pct"/>
                  <w:vMerge w:val="restart"/>
                  <w:tcBorders>
                    <w:tl2br w:val="nil"/>
                    <w:tr2bl w:val="nil"/>
                  </w:tcBorders>
                  <w:shd w:val="clear" w:color="auto" w:fill="auto"/>
                  <w:noWrap w:val="0"/>
                  <w:tcMar>
                    <w:left w:w="28" w:type="dxa"/>
                    <w:right w:w="28" w:type="dxa"/>
                  </w:tcMar>
                  <w:vAlign w:val="center"/>
                </w:tcPr>
                <w:p w14:paraId="22B74D4B">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声源控制措施</w:t>
                  </w:r>
                </w:p>
              </w:tc>
              <w:tc>
                <w:tcPr>
                  <w:tcW w:w="876" w:type="pct"/>
                  <w:gridSpan w:val="3"/>
                  <w:tcBorders>
                    <w:tl2br w:val="nil"/>
                    <w:tr2bl w:val="nil"/>
                  </w:tcBorders>
                  <w:shd w:val="clear" w:color="auto" w:fill="auto"/>
                  <w:noWrap w:val="0"/>
                  <w:tcMar>
                    <w:left w:w="28" w:type="dxa"/>
                    <w:right w:w="28" w:type="dxa"/>
                  </w:tcMar>
                  <w:vAlign w:val="center"/>
                </w:tcPr>
                <w:p w14:paraId="143BF664">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空间相对位置</w:t>
                  </w:r>
                </w:p>
              </w:tc>
              <w:tc>
                <w:tcPr>
                  <w:tcW w:w="332" w:type="pct"/>
                  <w:vMerge w:val="restart"/>
                  <w:tcBorders>
                    <w:tl2br w:val="nil"/>
                    <w:tr2bl w:val="nil"/>
                  </w:tcBorders>
                  <w:shd w:val="clear" w:color="auto" w:fill="auto"/>
                  <w:noWrap w:val="0"/>
                  <w:tcMar>
                    <w:left w:w="28" w:type="dxa"/>
                    <w:right w:w="28" w:type="dxa"/>
                  </w:tcMar>
                  <w:vAlign w:val="center"/>
                </w:tcPr>
                <w:p w14:paraId="3286A9A9">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距室内边界距离/m</w:t>
                  </w:r>
                </w:p>
              </w:tc>
              <w:tc>
                <w:tcPr>
                  <w:tcW w:w="377" w:type="pct"/>
                  <w:vMerge w:val="restart"/>
                  <w:tcBorders>
                    <w:tl2br w:val="nil"/>
                    <w:tr2bl w:val="nil"/>
                  </w:tcBorders>
                  <w:shd w:val="clear" w:color="auto" w:fill="auto"/>
                  <w:noWrap w:val="0"/>
                  <w:tcMar>
                    <w:left w:w="28" w:type="dxa"/>
                    <w:right w:w="28" w:type="dxa"/>
                  </w:tcMar>
                  <w:vAlign w:val="center"/>
                </w:tcPr>
                <w:p w14:paraId="6F023A09">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室内边界声级</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dB(</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A</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w:t>
                  </w:r>
                </w:p>
              </w:tc>
              <w:tc>
                <w:tcPr>
                  <w:tcW w:w="286" w:type="pct"/>
                  <w:vMerge w:val="restart"/>
                  <w:tcBorders>
                    <w:tl2br w:val="nil"/>
                    <w:tr2bl w:val="nil"/>
                  </w:tcBorders>
                  <w:shd w:val="clear" w:color="auto" w:fill="auto"/>
                  <w:noWrap w:val="0"/>
                  <w:tcMar>
                    <w:left w:w="28" w:type="dxa"/>
                    <w:right w:w="28" w:type="dxa"/>
                  </w:tcMar>
                  <w:vAlign w:val="center"/>
                </w:tcPr>
                <w:p w14:paraId="4D7EB8EC">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运行时段</w:t>
                  </w:r>
                </w:p>
              </w:tc>
              <w:tc>
                <w:tcPr>
                  <w:tcW w:w="399" w:type="pct"/>
                  <w:vMerge w:val="restart"/>
                  <w:tcBorders>
                    <w:tl2br w:val="nil"/>
                    <w:tr2bl w:val="nil"/>
                  </w:tcBorders>
                  <w:shd w:val="clear" w:color="auto" w:fill="auto"/>
                  <w:noWrap w:val="0"/>
                  <w:tcMar>
                    <w:left w:w="28" w:type="dxa"/>
                    <w:right w:w="28" w:type="dxa"/>
                  </w:tcMar>
                  <w:vAlign w:val="center"/>
                </w:tcPr>
                <w:p w14:paraId="50345992">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建筑物插入损失/</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dB(</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A</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w:t>
                  </w:r>
                </w:p>
              </w:tc>
              <w:tc>
                <w:tcPr>
                  <w:tcW w:w="708" w:type="pct"/>
                  <w:gridSpan w:val="2"/>
                  <w:tcBorders>
                    <w:tl2br w:val="nil"/>
                    <w:tr2bl w:val="nil"/>
                  </w:tcBorders>
                  <w:shd w:val="clear" w:color="auto" w:fill="auto"/>
                  <w:noWrap w:val="0"/>
                  <w:tcMar>
                    <w:left w:w="28" w:type="dxa"/>
                    <w:right w:w="28" w:type="dxa"/>
                  </w:tcMar>
                  <w:vAlign w:val="center"/>
                </w:tcPr>
                <w:p w14:paraId="62C09267">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建筑物外噪声</w:t>
                  </w:r>
                </w:p>
              </w:tc>
            </w:tr>
            <w:tr w14:paraId="4EC80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8" w:type="pct"/>
                  <w:vMerge w:val="continue"/>
                  <w:tcBorders>
                    <w:tl2br w:val="nil"/>
                    <w:tr2bl w:val="nil"/>
                  </w:tcBorders>
                  <w:shd w:val="clear" w:color="auto" w:fill="auto"/>
                  <w:noWrap w:val="0"/>
                  <w:tcMar>
                    <w:left w:w="28" w:type="dxa"/>
                    <w:right w:w="28" w:type="dxa"/>
                  </w:tcMar>
                  <w:vAlign w:val="center"/>
                </w:tcPr>
                <w:p w14:paraId="5AC07A07">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p>
              </w:tc>
              <w:tc>
                <w:tcPr>
                  <w:tcW w:w="272" w:type="pct"/>
                  <w:vMerge w:val="continue"/>
                  <w:tcBorders>
                    <w:tl2br w:val="nil"/>
                    <w:tr2bl w:val="nil"/>
                  </w:tcBorders>
                  <w:shd w:val="clear" w:color="auto" w:fill="auto"/>
                  <w:noWrap w:val="0"/>
                  <w:tcMar>
                    <w:left w:w="28" w:type="dxa"/>
                    <w:right w:w="28" w:type="dxa"/>
                  </w:tcMar>
                  <w:vAlign w:val="center"/>
                </w:tcPr>
                <w:p w14:paraId="24145CF6">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p>
              </w:tc>
              <w:tc>
                <w:tcPr>
                  <w:tcW w:w="388" w:type="pct"/>
                  <w:vMerge w:val="continue"/>
                  <w:tcBorders>
                    <w:tl2br w:val="nil"/>
                    <w:tr2bl w:val="nil"/>
                  </w:tcBorders>
                  <w:shd w:val="clear" w:color="auto" w:fill="auto"/>
                  <w:noWrap w:val="0"/>
                  <w:tcMar>
                    <w:left w:w="28" w:type="dxa"/>
                    <w:right w:w="28" w:type="dxa"/>
                  </w:tcMar>
                  <w:vAlign w:val="center"/>
                </w:tcPr>
                <w:p w14:paraId="4FA875A9">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p>
              </w:tc>
              <w:tc>
                <w:tcPr>
                  <w:tcW w:w="308" w:type="pct"/>
                  <w:vMerge w:val="continue"/>
                  <w:tcBorders>
                    <w:tl2br w:val="nil"/>
                    <w:tr2bl w:val="nil"/>
                  </w:tcBorders>
                  <w:shd w:val="clear" w:color="auto" w:fill="auto"/>
                  <w:noWrap w:val="0"/>
                  <w:tcMar>
                    <w:left w:w="28" w:type="dxa"/>
                    <w:right w:w="28" w:type="dxa"/>
                  </w:tcMar>
                  <w:vAlign w:val="center"/>
                </w:tcPr>
                <w:p w14:paraId="30A6A103">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p>
              </w:tc>
              <w:tc>
                <w:tcPr>
                  <w:tcW w:w="355" w:type="pct"/>
                  <w:vMerge w:val="continue"/>
                  <w:tcBorders>
                    <w:tl2br w:val="nil"/>
                    <w:tr2bl w:val="nil"/>
                  </w:tcBorders>
                  <w:shd w:val="clear" w:color="auto" w:fill="auto"/>
                  <w:noWrap w:val="0"/>
                  <w:tcMar>
                    <w:left w:w="28" w:type="dxa"/>
                    <w:right w:w="28" w:type="dxa"/>
                  </w:tcMar>
                  <w:vAlign w:val="center"/>
                </w:tcPr>
                <w:p w14:paraId="7C963AD5">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p>
              </w:tc>
              <w:tc>
                <w:tcPr>
                  <w:tcW w:w="525" w:type="pct"/>
                  <w:vMerge w:val="continue"/>
                  <w:tcBorders>
                    <w:tl2br w:val="nil"/>
                    <w:tr2bl w:val="nil"/>
                  </w:tcBorders>
                  <w:shd w:val="clear" w:color="auto" w:fill="auto"/>
                  <w:noWrap w:val="0"/>
                  <w:tcMar>
                    <w:left w:w="28" w:type="dxa"/>
                    <w:right w:w="28" w:type="dxa"/>
                  </w:tcMar>
                  <w:vAlign w:val="center"/>
                </w:tcPr>
                <w:p w14:paraId="4B4209C8">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p>
              </w:tc>
              <w:tc>
                <w:tcPr>
                  <w:tcW w:w="317" w:type="pct"/>
                  <w:tcBorders>
                    <w:tl2br w:val="nil"/>
                    <w:tr2bl w:val="nil"/>
                  </w:tcBorders>
                  <w:shd w:val="clear" w:color="auto" w:fill="auto"/>
                  <w:noWrap w:val="0"/>
                  <w:tcMar>
                    <w:left w:w="28" w:type="dxa"/>
                    <w:right w:w="28" w:type="dxa"/>
                  </w:tcMar>
                  <w:vAlign w:val="center"/>
                </w:tcPr>
                <w:p w14:paraId="022A92DA">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X</w:t>
                  </w:r>
                </w:p>
              </w:tc>
              <w:tc>
                <w:tcPr>
                  <w:tcW w:w="330" w:type="pct"/>
                  <w:tcBorders>
                    <w:tl2br w:val="nil"/>
                    <w:tr2bl w:val="nil"/>
                  </w:tcBorders>
                  <w:shd w:val="clear" w:color="auto" w:fill="auto"/>
                  <w:noWrap w:val="0"/>
                  <w:tcMar>
                    <w:left w:w="28" w:type="dxa"/>
                    <w:right w:w="28" w:type="dxa"/>
                  </w:tcMar>
                  <w:vAlign w:val="center"/>
                </w:tcPr>
                <w:p w14:paraId="3DF61620">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Y</w:t>
                  </w:r>
                </w:p>
              </w:tc>
              <w:tc>
                <w:tcPr>
                  <w:tcW w:w="228" w:type="pct"/>
                  <w:tcBorders>
                    <w:tl2br w:val="nil"/>
                    <w:tr2bl w:val="nil"/>
                  </w:tcBorders>
                  <w:shd w:val="clear" w:color="auto" w:fill="auto"/>
                  <w:noWrap w:val="0"/>
                  <w:tcMar>
                    <w:left w:w="28" w:type="dxa"/>
                    <w:right w:w="28" w:type="dxa"/>
                  </w:tcMar>
                  <w:vAlign w:val="center"/>
                </w:tcPr>
                <w:p w14:paraId="55AC4561">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Z</w:t>
                  </w:r>
                </w:p>
              </w:tc>
              <w:tc>
                <w:tcPr>
                  <w:tcW w:w="332" w:type="pct"/>
                  <w:vMerge w:val="continue"/>
                  <w:tcBorders>
                    <w:tl2br w:val="nil"/>
                    <w:tr2bl w:val="nil"/>
                  </w:tcBorders>
                  <w:shd w:val="clear" w:color="auto" w:fill="auto"/>
                  <w:noWrap w:val="0"/>
                  <w:tcMar>
                    <w:left w:w="28" w:type="dxa"/>
                    <w:right w:w="28" w:type="dxa"/>
                  </w:tcMar>
                  <w:vAlign w:val="center"/>
                </w:tcPr>
                <w:p w14:paraId="48847805">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pPr>
                </w:p>
              </w:tc>
              <w:tc>
                <w:tcPr>
                  <w:tcW w:w="377" w:type="pct"/>
                  <w:vMerge w:val="continue"/>
                  <w:tcBorders>
                    <w:tl2br w:val="nil"/>
                    <w:tr2bl w:val="nil"/>
                  </w:tcBorders>
                  <w:shd w:val="clear" w:color="auto" w:fill="auto"/>
                  <w:noWrap w:val="0"/>
                  <w:tcMar>
                    <w:left w:w="28" w:type="dxa"/>
                    <w:right w:w="28" w:type="dxa"/>
                  </w:tcMar>
                  <w:vAlign w:val="center"/>
                </w:tcPr>
                <w:p w14:paraId="24B16D9A">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eastAsia="en-US"/>
                      <w14:textFill>
                        <w14:solidFill>
                          <w14:schemeClr w14:val="tx1"/>
                        </w14:solidFill>
                      </w14:textFill>
                    </w:rPr>
                  </w:pPr>
                </w:p>
              </w:tc>
              <w:tc>
                <w:tcPr>
                  <w:tcW w:w="286" w:type="pct"/>
                  <w:vMerge w:val="continue"/>
                  <w:tcBorders>
                    <w:tl2br w:val="nil"/>
                    <w:tr2bl w:val="nil"/>
                  </w:tcBorders>
                  <w:shd w:val="clear" w:color="auto" w:fill="auto"/>
                  <w:noWrap w:val="0"/>
                  <w:tcMar>
                    <w:left w:w="28" w:type="dxa"/>
                    <w:right w:w="28" w:type="dxa"/>
                  </w:tcMar>
                  <w:vAlign w:val="center"/>
                </w:tcPr>
                <w:p w14:paraId="0C472B40">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eastAsia="en-US"/>
                      <w14:textFill>
                        <w14:solidFill>
                          <w14:schemeClr w14:val="tx1"/>
                        </w14:solidFill>
                      </w14:textFill>
                    </w:rPr>
                  </w:pPr>
                </w:p>
              </w:tc>
              <w:tc>
                <w:tcPr>
                  <w:tcW w:w="399" w:type="pct"/>
                  <w:vMerge w:val="continue"/>
                  <w:tcBorders>
                    <w:tl2br w:val="nil"/>
                    <w:tr2bl w:val="nil"/>
                  </w:tcBorders>
                  <w:shd w:val="clear" w:color="auto" w:fill="auto"/>
                  <w:noWrap w:val="0"/>
                  <w:tcMar>
                    <w:left w:w="28" w:type="dxa"/>
                    <w:right w:w="28" w:type="dxa"/>
                  </w:tcMar>
                  <w:vAlign w:val="center"/>
                </w:tcPr>
                <w:p w14:paraId="796D0B33">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pPr>
                </w:p>
              </w:tc>
              <w:tc>
                <w:tcPr>
                  <w:tcW w:w="356" w:type="pct"/>
                  <w:tcBorders>
                    <w:tl2br w:val="nil"/>
                    <w:tr2bl w:val="nil"/>
                  </w:tcBorders>
                  <w:shd w:val="clear" w:color="auto" w:fill="auto"/>
                  <w:noWrap w:val="0"/>
                  <w:tcMar>
                    <w:left w:w="28" w:type="dxa"/>
                    <w:right w:w="28" w:type="dxa"/>
                  </w:tcMar>
                  <w:vAlign w:val="center"/>
                </w:tcPr>
                <w:p w14:paraId="3DD3AA86">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声压级/</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dB(</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A</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w:t>
                  </w:r>
                </w:p>
              </w:tc>
              <w:tc>
                <w:tcPr>
                  <w:tcW w:w="351" w:type="pct"/>
                  <w:tcBorders>
                    <w:tl2br w:val="nil"/>
                    <w:tr2bl w:val="nil"/>
                  </w:tcBorders>
                  <w:shd w:val="clear" w:color="auto" w:fill="auto"/>
                  <w:noWrap w:val="0"/>
                  <w:tcMar>
                    <w:left w:w="28" w:type="dxa"/>
                    <w:right w:w="28" w:type="dxa"/>
                  </w:tcMar>
                  <w:vAlign w:val="center"/>
                </w:tcPr>
                <w:p w14:paraId="1E9737D9">
                  <w:pPr>
                    <w:keepNext w:val="0"/>
                    <w:keepLines w:val="0"/>
                    <w:pageBreakBefore w:val="0"/>
                    <w:widowControl/>
                    <w:suppressLineNumbers w:val="0"/>
                    <w:kinsoku/>
                    <w:wordWrap/>
                    <w:overflowPunct/>
                    <w:autoSpaceDE/>
                    <w:autoSpaceDN/>
                    <w:bidi w:val="0"/>
                    <w:adjustRightInd/>
                    <w:snapToGrid/>
                    <w:spacing w:before="157" w:beforeLines="50" w:beforeAutospacing="0" w:afterLines="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建筑物外距离（m）</w:t>
                  </w:r>
                </w:p>
              </w:tc>
            </w:tr>
            <w:tr w14:paraId="0FA34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8" w:type="pct"/>
                  <w:vMerge w:val="restart"/>
                  <w:tcBorders>
                    <w:tl2br w:val="nil"/>
                    <w:tr2bl w:val="nil"/>
                  </w:tcBorders>
                  <w:shd w:val="clear" w:color="auto" w:fill="auto"/>
                  <w:noWrap w:val="0"/>
                  <w:tcMar>
                    <w:left w:w="28" w:type="dxa"/>
                    <w:right w:w="28" w:type="dxa"/>
                  </w:tcMar>
                  <w:vAlign w:val="center"/>
                </w:tcPr>
                <w:p w14:paraId="2C6B87D1">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1</w:t>
                  </w:r>
                </w:p>
              </w:tc>
              <w:tc>
                <w:tcPr>
                  <w:tcW w:w="272" w:type="pct"/>
                  <w:vMerge w:val="restart"/>
                  <w:tcBorders>
                    <w:tl2br w:val="nil"/>
                    <w:tr2bl w:val="nil"/>
                  </w:tcBorders>
                  <w:shd w:val="clear" w:color="auto" w:fill="auto"/>
                  <w:noWrap w:val="0"/>
                  <w:tcMar>
                    <w:left w:w="28" w:type="dxa"/>
                    <w:right w:w="28" w:type="dxa"/>
                  </w:tcMar>
                  <w:vAlign w:val="center"/>
                </w:tcPr>
                <w:p w14:paraId="758A98AF">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生产车间</w:t>
                  </w:r>
                </w:p>
              </w:tc>
              <w:tc>
                <w:tcPr>
                  <w:tcW w:w="388" w:type="pct"/>
                  <w:tcBorders>
                    <w:tl2br w:val="nil"/>
                    <w:tr2bl w:val="nil"/>
                  </w:tcBorders>
                  <w:shd w:val="clear" w:color="auto" w:fill="auto"/>
                  <w:noWrap w:val="0"/>
                  <w:tcMar>
                    <w:left w:w="28" w:type="dxa"/>
                    <w:right w:w="28" w:type="dxa"/>
                  </w:tcMar>
                  <w:vAlign w:val="center"/>
                </w:tcPr>
                <w:p w14:paraId="41780E16">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皮带输送机</w:t>
                  </w:r>
                </w:p>
              </w:tc>
              <w:tc>
                <w:tcPr>
                  <w:tcW w:w="308" w:type="pct"/>
                  <w:tcBorders>
                    <w:tl2br w:val="nil"/>
                    <w:tr2bl w:val="nil"/>
                  </w:tcBorders>
                  <w:shd w:val="clear" w:color="auto" w:fill="auto"/>
                  <w:noWrap w:val="0"/>
                  <w:tcMar>
                    <w:left w:w="28" w:type="dxa"/>
                    <w:right w:w="28" w:type="dxa"/>
                  </w:tcMar>
                  <w:vAlign w:val="center"/>
                </w:tcPr>
                <w:p w14:paraId="68B8225E">
                  <w:pPr>
                    <w:pStyle w:val="104"/>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p>
              </w:tc>
              <w:tc>
                <w:tcPr>
                  <w:tcW w:w="355" w:type="pct"/>
                  <w:tcBorders>
                    <w:tl2br w:val="nil"/>
                    <w:tr2bl w:val="nil"/>
                  </w:tcBorders>
                  <w:shd w:val="clear" w:color="auto" w:fill="auto"/>
                  <w:noWrap w:val="0"/>
                  <w:tcMar>
                    <w:left w:w="28" w:type="dxa"/>
                    <w:right w:w="28" w:type="dxa"/>
                  </w:tcMar>
                  <w:vAlign w:val="center"/>
                </w:tcPr>
                <w:p w14:paraId="7369068C">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t>80</w:t>
                  </w:r>
                </w:p>
              </w:tc>
              <w:tc>
                <w:tcPr>
                  <w:tcW w:w="525" w:type="pct"/>
                  <w:tcBorders>
                    <w:tl2br w:val="nil"/>
                    <w:tr2bl w:val="nil"/>
                  </w:tcBorders>
                  <w:shd w:val="clear" w:color="auto" w:fill="auto"/>
                  <w:noWrap w:val="0"/>
                  <w:tcMar>
                    <w:left w:w="28" w:type="dxa"/>
                    <w:right w:w="28" w:type="dxa"/>
                  </w:tcMar>
                  <w:vAlign w:val="center"/>
                </w:tcPr>
                <w:p w14:paraId="38F6C92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选择低噪声设备、基座减震</w:t>
                  </w:r>
                </w:p>
              </w:tc>
              <w:tc>
                <w:tcPr>
                  <w:tcW w:w="317" w:type="pct"/>
                  <w:tcBorders>
                    <w:tl2br w:val="nil"/>
                    <w:tr2bl w:val="nil"/>
                  </w:tcBorders>
                  <w:shd w:val="clear" w:color="auto" w:fill="auto"/>
                  <w:noWrap w:val="0"/>
                  <w:tcMar>
                    <w:left w:w="28" w:type="dxa"/>
                    <w:right w:w="28" w:type="dxa"/>
                  </w:tcMar>
                  <w:vAlign w:val="center"/>
                </w:tcPr>
                <w:p w14:paraId="531D9C42">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84.2</w:t>
                  </w:r>
                </w:p>
              </w:tc>
              <w:tc>
                <w:tcPr>
                  <w:tcW w:w="330" w:type="pct"/>
                  <w:tcBorders>
                    <w:tl2br w:val="nil"/>
                    <w:tr2bl w:val="nil"/>
                  </w:tcBorders>
                  <w:shd w:val="clear" w:color="auto" w:fill="auto"/>
                  <w:noWrap w:val="0"/>
                  <w:tcMar>
                    <w:left w:w="28" w:type="dxa"/>
                    <w:right w:w="28" w:type="dxa"/>
                  </w:tcMar>
                  <w:vAlign w:val="center"/>
                </w:tcPr>
                <w:p w14:paraId="7EFC65B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118.96</w:t>
                  </w:r>
                </w:p>
              </w:tc>
              <w:tc>
                <w:tcPr>
                  <w:tcW w:w="228" w:type="pct"/>
                  <w:tcBorders>
                    <w:tl2br w:val="nil"/>
                    <w:tr2bl w:val="nil"/>
                  </w:tcBorders>
                  <w:shd w:val="clear" w:color="auto" w:fill="auto"/>
                  <w:noWrap w:val="0"/>
                  <w:tcMar>
                    <w:left w:w="28" w:type="dxa"/>
                    <w:right w:w="28" w:type="dxa"/>
                  </w:tcMar>
                  <w:vAlign w:val="center"/>
                </w:tcPr>
                <w:p w14:paraId="49FC0BE5">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w:t>
                  </w:r>
                </w:p>
              </w:tc>
              <w:tc>
                <w:tcPr>
                  <w:tcW w:w="332" w:type="pct"/>
                  <w:tcBorders>
                    <w:tl2br w:val="nil"/>
                    <w:tr2bl w:val="nil"/>
                  </w:tcBorders>
                  <w:shd w:val="clear" w:color="auto" w:fill="auto"/>
                  <w:noWrap w:val="0"/>
                  <w:tcMar>
                    <w:left w:w="28" w:type="dxa"/>
                    <w:right w:w="28" w:type="dxa"/>
                  </w:tcMar>
                  <w:vAlign w:val="center"/>
                </w:tcPr>
                <w:p w14:paraId="34552690">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7.46</w:t>
                  </w:r>
                </w:p>
              </w:tc>
              <w:tc>
                <w:tcPr>
                  <w:tcW w:w="377" w:type="pct"/>
                  <w:tcBorders>
                    <w:tl2br w:val="nil"/>
                    <w:tr2bl w:val="nil"/>
                  </w:tcBorders>
                  <w:shd w:val="clear" w:color="auto" w:fill="auto"/>
                  <w:noWrap w:val="0"/>
                  <w:tcMar>
                    <w:left w:w="28" w:type="dxa"/>
                    <w:right w:w="28" w:type="dxa"/>
                  </w:tcMar>
                  <w:vAlign w:val="center"/>
                </w:tcPr>
                <w:p w14:paraId="1594231D">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73.83</w:t>
                  </w:r>
                </w:p>
              </w:tc>
              <w:tc>
                <w:tcPr>
                  <w:tcW w:w="286" w:type="pct"/>
                  <w:tcBorders>
                    <w:tl2br w:val="nil"/>
                    <w:tr2bl w:val="nil"/>
                  </w:tcBorders>
                  <w:shd w:val="clear" w:color="auto" w:fill="auto"/>
                  <w:noWrap w:val="0"/>
                  <w:tcMar>
                    <w:left w:w="28" w:type="dxa"/>
                    <w:right w:w="28" w:type="dxa"/>
                  </w:tcMar>
                  <w:vAlign w:val="center"/>
                </w:tcPr>
                <w:p w14:paraId="1ADC8947">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昼间</w:t>
                  </w:r>
                </w:p>
              </w:tc>
              <w:tc>
                <w:tcPr>
                  <w:tcW w:w="399" w:type="pct"/>
                  <w:tcBorders>
                    <w:tl2br w:val="nil"/>
                    <w:tr2bl w:val="nil"/>
                  </w:tcBorders>
                  <w:shd w:val="clear" w:color="auto" w:fill="auto"/>
                  <w:noWrap w:val="0"/>
                  <w:tcMar>
                    <w:left w:w="28" w:type="dxa"/>
                    <w:right w:w="28" w:type="dxa"/>
                  </w:tcMar>
                  <w:vAlign w:val="center"/>
                </w:tcPr>
                <w:p w14:paraId="7BE634F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26</w:t>
                  </w:r>
                </w:p>
              </w:tc>
              <w:tc>
                <w:tcPr>
                  <w:tcW w:w="356" w:type="pct"/>
                  <w:tcBorders>
                    <w:tl2br w:val="nil"/>
                    <w:tr2bl w:val="nil"/>
                  </w:tcBorders>
                  <w:shd w:val="clear" w:color="auto" w:fill="auto"/>
                  <w:noWrap w:val="0"/>
                  <w:tcMar>
                    <w:left w:w="28" w:type="dxa"/>
                    <w:right w:w="28" w:type="dxa"/>
                  </w:tcMar>
                  <w:vAlign w:val="center"/>
                </w:tcPr>
                <w:p w14:paraId="7CF1FF2B">
                  <w:pPr>
                    <w:spacing w:before="157" w:beforeLines="50" w:afterLines="0" w:line="360" w:lineRule="auto"/>
                    <w:ind w:left="0" w:leftChars="0" w:right="0" w:rightChars="0"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47.83</w:t>
                  </w:r>
                </w:p>
              </w:tc>
              <w:tc>
                <w:tcPr>
                  <w:tcW w:w="351" w:type="pct"/>
                  <w:tcBorders>
                    <w:tl2br w:val="nil"/>
                    <w:tr2bl w:val="nil"/>
                  </w:tcBorders>
                  <w:shd w:val="clear" w:color="auto" w:fill="auto"/>
                  <w:noWrap w:val="0"/>
                  <w:tcMar>
                    <w:left w:w="28" w:type="dxa"/>
                    <w:right w:w="28" w:type="dxa"/>
                  </w:tcMar>
                  <w:vAlign w:val="center"/>
                </w:tcPr>
                <w:p w14:paraId="5EF1D7EA">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w:t>
                  </w:r>
                </w:p>
              </w:tc>
            </w:tr>
            <w:tr w14:paraId="377B7C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8" w:type="pct"/>
                  <w:vMerge w:val="continue"/>
                  <w:tcBorders>
                    <w:tl2br w:val="nil"/>
                    <w:tr2bl w:val="nil"/>
                  </w:tcBorders>
                  <w:shd w:val="clear" w:color="auto" w:fill="auto"/>
                  <w:noWrap w:val="0"/>
                  <w:tcMar>
                    <w:left w:w="28" w:type="dxa"/>
                    <w:right w:w="28" w:type="dxa"/>
                  </w:tcMar>
                  <w:vAlign w:val="center"/>
                </w:tcPr>
                <w:p w14:paraId="01B246F1">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272" w:type="pct"/>
                  <w:vMerge w:val="continue"/>
                  <w:tcBorders>
                    <w:tl2br w:val="nil"/>
                    <w:tr2bl w:val="nil"/>
                  </w:tcBorders>
                  <w:shd w:val="clear" w:color="auto" w:fill="auto"/>
                  <w:noWrap w:val="0"/>
                  <w:tcMar>
                    <w:left w:w="28" w:type="dxa"/>
                    <w:right w:w="28" w:type="dxa"/>
                  </w:tcMar>
                  <w:vAlign w:val="center"/>
                </w:tcPr>
                <w:p w14:paraId="5B1D30AA">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88" w:type="pct"/>
                  <w:tcBorders>
                    <w:tl2br w:val="nil"/>
                    <w:tr2bl w:val="nil"/>
                  </w:tcBorders>
                  <w:shd w:val="clear" w:color="auto" w:fill="auto"/>
                  <w:noWrap w:val="0"/>
                  <w:tcMar>
                    <w:left w:w="28" w:type="dxa"/>
                    <w:right w:w="28" w:type="dxa"/>
                  </w:tcMar>
                  <w:vAlign w:val="center"/>
                </w:tcPr>
                <w:p w14:paraId="52B0BC56">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风机</w:t>
                  </w:r>
                </w:p>
              </w:tc>
              <w:tc>
                <w:tcPr>
                  <w:tcW w:w="308" w:type="pct"/>
                  <w:tcBorders>
                    <w:tl2br w:val="nil"/>
                    <w:tr2bl w:val="nil"/>
                  </w:tcBorders>
                  <w:shd w:val="clear" w:color="auto" w:fill="auto"/>
                  <w:noWrap w:val="0"/>
                  <w:tcMar>
                    <w:left w:w="28" w:type="dxa"/>
                    <w:right w:w="28" w:type="dxa"/>
                  </w:tcMar>
                  <w:vAlign w:val="center"/>
                </w:tcPr>
                <w:p w14:paraId="6FF40D89">
                  <w:pPr>
                    <w:pStyle w:val="104"/>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p>
              </w:tc>
              <w:tc>
                <w:tcPr>
                  <w:tcW w:w="355" w:type="pct"/>
                  <w:tcBorders>
                    <w:tl2br w:val="nil"/>
                    <w:tr2bl w:val="nil"/>
                  </w:tcBorders>
                  <w:shd w:val="clear" w:color="auto" w:fill="auto"/>
                  <w:noWrap w:val="0"/>
                  <w:tcMar>
                    <w:left w:w="28" w:type="dxa"/>
                    <w:right w:w="28" w:type="dxa"/>
                  </w:tcMar>
                  <w:vAlign w:val="center"/>
                </w:tcPr>
                <w:p w14:paraId="00546C7E">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t>85</w:t>
                  </w:r>
                </w:p>
              </w:tc>
              <w:tc>
                <w:tcPr>
                  <w:tcW w:w="525" w:type="pct"/>
                  <w:tcBorders>
                    <w:tl2br w:val="nil"/>
                    <w:tr2bl w:val="nil"/>
                  </w:tcBorders>
                  <w:shd w:val="clear" w:color="auto" w:fill="auto"/>
                  <w:noWrap w:val="0"/>
                  <w:tcMar>
                    <w:left w:w="28" w:type="dxa"/>
                    <w:right w:w="28" w:type="dxa"/>
                  </w:tcMar>
                  <w:vAlign w:val="center"/>
                </w:tcPr>
                <w:p w14:paraId="4B981D77">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选择低噪声设备、基座减震</w:t>
                  </w:r>
                </w:p>
              </w:tc>
              <w:tc>
                <w:tcPr>
                  <w:tcW w:w="317" w:type="pct"/>
                  <w:tcBorders>
                    <w:tl2br w:val="nil"/>
                    <w:tr2bl w:val="nil"/>
                  </w:tcBorders>
                  <w:shd w:val="clear" w:color="auto" w:fill="auto"/>
                  <w:noWrap w:val="0"/>
                  <w:tcMar>
                    <w:left w:w="28" w:type="dxa"/>
                    <w:right w:w="28" w:type="dxa"/>
                  </w:tcMar>
                  <w:vAlign w:val="center"/>
                </w:tcPr>
                <w:p w14:paraId="01CF71C3">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83.11</w:t>
                  </w:r>
                </w:p>
              </w:tc>
              <w:tc>
                <w:tcPr>
                  <w:tcW w:w="330" w:type="pct"/>
                  <w:tcBorders>
                    <w:tl2br w:val="nil"/>
                    <w:tr2bl w:val="nil"/>
                  </w:tcBorders>
                  <w:shd w:val="clear" w:color="auto" w:fill="auto"/>
                  <w:noWrap w:val="0"/>
                  <w:tcMar>
                    <w:left w:w="28" w:type="dxa"/>
                    <w:right w:w="28" w:type="dxa"/>
                  </w:tcMar>
                  <w:vAlign w:val="center"/>
                </w:tcPr>
                <w:p w14:paraId="098C9C05">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116.09</w:t>
                  </w:r>
                </w:p>
              </w:tc>
              <w:tc>
                <w:tcPr>
                  <w:tcW w:w="228" w:type="pct"/>
                  <w:tcBorders>
                    <w:tl2br w:val="nil"/>
                    <w:tr2bl w:val="nil"/>
                  </w:tcBorders>
                  <w:shd w:val="clear" w:color="auto" w:fill="auto"/>
                  <w:noWrap w:val="0"/>
                  <w:tcMar>
                    <w:left w:w="28" w:type="dxa"/>
                    <w:right w:w="28" w:type="dxa"/>
                  </w:tcMar>
                  <w:vAlign w:val="center"/>
                </w:tcPr>
                <w:p w14:paraId="0F0BD158">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w:t>
                  </w:r>
                </w:p>
              </w:tc>
              <w:tc>
                <w:tcPr>
                  <w:tcW w:w="332" w:type="pct"/>
                  <w:tcBorders>
                    <w:tl2br w:val="nil"/>
                    <w:tr2bl w:val="nil"/>
                  </w:tcBorders>
                  <w:shd w:val="clear" w:color="auto" w:fill="auto"/>
                  <w:noWrap w:val="0"/>
                  <w:tcMar>
                    <w:left w:w="28" w:type="dxa"/>
                    <w:right w:w="28" w:type="dxa"/>
                  </w:tcMar>
                  <w:vAlign w:val="center"/>
                </w:tcPr>
                <w:p w14:paraId="4C4C1176">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5.50</w:t>
                  </w:r>
                </w:p>
              </w:tc>
              <w:tc>
                <w:tcPr>
                  <w:tcW w:w="377" w:type="pct"/>
                  <w:tcBorders>
                    <w:tl2br w:val="nil"/>
                    <w:tr2bl w:val="nil"/>
                  </w:tcBorders>
                  <w:shd w:val="clear" w:color="auto" w:fill="auto"/>
                  <w:noWrap w:val="0"/>
                  <w:tcMar>
                    <w:left w:w="28" w:type="dxa"/>
                    <w:right w:w="28" w:type="dxa"/>
                  </w:tcMar>
                  <w:vAlign w:val="center"/>
                </w:tcPr>
                <w:p w14:paraId="37DCF9A2">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78.90</w:t>
                  </w:r>
                </w:p>
              </w:tc>
              <w:tc>
                <w:tcPr>
                  <w:tcW w:w="286" w:type="pct"/>
                  <w:tcBorders>
                    <w:tl2br w:val="nil"/>
                    <w:tr2bl w:val="nil"/>
                  </w:tcBorders>
                  <w:shd w:val="clear" w:color="auto" w:fill="auto"/>
                  <w:noWrap w:val="0"/>
                  <w:tcMar>
                    <w:left w:w="28" w:type="dxa"/>
                    <w:right w:w="28" w:type="dxa"/>
                  </w:tcMar>
                  <w:vAlign w:val="center"/>
                </w:tcPr>
                <w:p w14:paraId="02D8A760">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昼间</w:t>
                  </w:r>
                </w:p>
              </w:tc>
              <w:tc>
                <w:tcPr>
                  <w:tcW w:w="399" w:type="pct"/>
                  <w:tcBorders>
                    <w:tl2br w:val="nil"/>
                    <w:tr2bl w:val="nil"/>
                  </w:tcBorders>
                  <w:shd w:val="clear" w:color="auto" w:fill="auto"/>
                  <w:noWrap w:val="0"/>
                  <w:tcMar>
                    <w:left w:w="28" w:type="dxa"/>
                    <w:right w:w="28" w:type="dxa"/>
                  </w:tcMar>
                  <w:vAlign w:val="center"/>
                </w:tcPr>
                <w:p w14:paraId="25F879FB">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26</w:t>
                  </w:r>
                </w:p>
              </w:tc>
              <w:tc>
                <w:tcPr>
                  <w:tcW w:w="356" w:type="pct"/>
                  <w:tcBorders>
                    <w:tl2br w:val="nil"/>
                    <w:tr2bl w:val="nil"/>
                  </w:tcBorders>
                  <w:shd w:val="clear" w:color="auto" w:fill="auto"/>
                  <w:noWrap w:val="0"/>
                  <w:tcMar>
                    <w:left w:w="28" w:type="dxa"/>
                    <w:right w:w="28" w:type="dxa"/>
                  </w:tcMar>
                  <w:vAlign w:val="center"/>
                </w:tcPr>
                <w:p w14:paraId="52010338">
                  <w:pPr>
                    <w:spacing w:before="157" w:beforeLines="50" w:afterLines="0" w:line="360" w:lineRule="auto"/>
                    <w:ind w:left="0" w:leftChars="0" w:right="0" w:rightChars="0"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52.9</w:t>
                  </w:r>
                </w:p>
              </w:tc>
              <w:tc>
                <w:tcPr>
                  <w:tcW w:w="351" w:type="pct"/>
                  <w:tcBorders>
                    <w:tl2br w:val="nil"/>
                    <w:tr2bl w:val="nil"/>
                  </w:tcBorders>
                  <w:shd w:val="clear" w:color="auto" w:fill="auto"/>
                  <w:noWrap w:val="0"/>
                  <w:tcMar>
                    <w:left w:w="28" w:type="dxa"/>
                    <w:right w:w="28" w:type="dxa"/>
                  </w:tcMar>
                  <w:vAlign w:val="center"/>
                </w:tcPr>
                <w:p w14:paraId="79A0A47E">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1</w:t>
                  </w:r>
                </w:p>
              </w:tc>
            </w:tr>
            <w:tr w14:paraId="7BF6D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8" w:type="pct"/>
                  <w:vMerge w:val="continue"/>
                  <w:tcBorders>
                    <w:tl2br w:val="nil"/>
                    <w:tr2bl w:val="nil"/>
                  </w:tcBorders>
                  <w:shd w:val="clear" w:color="auto" w:fill="auto"/>
                  <w:noWrap w:val="0"/>
                  <w:tcMar>
                    <w:left w:w="28" w:type="dxa"/>
                    <w:right w:w="28" w:type="dxa"/>
                  </w:tcMar>
                  <w:vAlign w:val="center"/>
                </w:tcPr>
                <w:p w14:paraId="3C8A76D5">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272" w:type="pct"/>
                  <w:vMerge w:val="continue"/>
                  <w:tcBorders>
                    <w:tl2br w:val="nil"/>
                    <w:tr2bl w:val="nil"/>
                  </w:tcBorders>
                  <w:shd w:val="clear" w:color="auto" w:fill="auto"/>
                  <w:noWrap w:val="0"/>
                  <w:tcMar>
                    <w:left w:w="28" w:type="dxa"/>
                    <w:right w:w="28" w:type="dxa"/>
                  </w:tcMar>
                  <w:vAlign w:val="center"/>
                </w:tcPr>
                <w:p w14:paraId="0ACBF96C">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88" w:type="pct"/>
                  <w:tcBorders>
                    <w:tl2br w:val="nil"/>
                    <w:tr2bl w:val="nil"/>
                  </w:tcBorders>
                  <w:shd w:val="clear" w:color="auto" w:fill="auto"/>
                  <w:noWrap w:val="0"/>
                  <w:tcMar>
                    <w:left w:w="28" w:type="dxa"/>
                    <w:right w:w="28" w:type="dxa"/>
                  </w:tcMar>
                  <w:vAlign w:val="center"/>
                </w:tcPr>
                <w:p w14:paraId="72C51BF3">
                  <w:pPr>
                    <w:widowControl/>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装载机</w:t>
                  </w:r>
                </w:p>
              </w:tc>
              <w:tc>
                <w:tcPr>
                  <w:tcW w:w="308" w:type="pct"/>
                  <w:tcBorders>
                    <w:tl2br w:val="nil"/>
                    <w:tr2bl w:val="nil"/>
                  </w:tcBorders>
                  <w:shd w:val="clear" w:color="auto" w:fill="auto"/>
                  <w:noWrap w:val="0"/>
                  <w:tcMar>
                    <w:left w:w="28" w:type="dxa"/>
                    <w:right w:w="28" w:type="dxa"/>
                  </w:tcMar>
                  <w:vAlign w:val="center"/>
                </w:tcPr>
                <w:p w14:paraId="44C3AF44">
                  <w:pPr>
                    <w:pStyle w:val="104"/>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w:t>
                  </w:r>
                </w:p>
              </w:tc>
              <w:tc>
                <w:tcPr>
                  <w:tcW w:w="355" w:type="pct"/>
                  <w:tcBorders>
                    <w:tl2br w:val="nil"/>
                    <w:tr2bl w:val="nil"/>
                  </w:tcBorders>
                  <w:shd w:val="clear" w:color="auto" w:fill="auto"/>
                  <w:noWrap w:val="0"/>
                  <w:tcMar>
                    <w:left w:w="28" w:type="dxa"/>
                    <w:right w:w="28" w:type="dxa"/>
                  </w:tcMar>
                  <w:vAlign w:val="center"/>
                </w:tcPr>
                <w:p w14:paraId="2AA696E5">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t>80</w:t>
                  </w:r>
                </w:p>
              </w:tc>
              <w:tc>
                <w:tcPr>
                  <w:tcW w:w="525" w:type="pct"/>
                  <w:tcBorders>
                    <w:tl2br w:val="nil"/>
                    <w:tr2bl w:val="nil"/>
                  </w:tcBorders>
                  <w:shd w:val="clear" w:color="auto" w:fill="auto"/>
                  <w:noWrap w:val="0"/>
                  <w:tcMar>
                    <w:left w:w="28" w:type="dxa"/>
                    <w:right w:w="28" w:type="dxa"/>
                  </w:tcMar>
                  <w:vAlign w:val="center"/>
                </w:tcPr>
                <w:p w14:paraId="6DDBAA3A">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选择低噪声设备、基座减震</w:t>
                  </w:r>
                </w:p>
              </w:tc>
              <w:tc>
                <w:tcPr>
                  <w:tcW w:w="317" w:type="pct"/>
                  <w:tcBorders>
                    <w:tl2br w:val="nil"/>
                    <w:tr2bl w:val="nil"/>
                  </w:tcBorders>
                  <w:shd w:val="clear" w:color="auto" w:fill="auto"/>
                  <w:noWrap w:val="0"/>
                  <w:tcMar>
                    <w:left w:w="28" w:type="dxa"/>
                    <w:right w:w="28" w:type="dxa"/>
                  </w:tcMar>
                  <w:vAlign w:val="center"/>
                </w:tcPr>
                <w:p w14:paraId="5520A291">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85.33</w:t>
                  </w:r>
                </w:p>
              </w:tc>
              <w:tc>
                <w:tcPr>
                  <w:tcW w:w="330" w:type="pct"/>
                  <w:tcBorders>
                    <w:tl2br w:val="nil"/>
                    <w:tr2bl w:val="nil"/>
                  </w:tcBorders>
                  <w:shd w:val="clear" w:color="auto" w:fill="auto"/>
                  <w:noWrap w:val="0"/>
                  <w:tcMar>
                    <w:left w:w="28" w:type="dxa"/>
                    <w:right w:w="28" w:type="dxa"/>
                  </w:tcMar>
                  <w:vAlign w:val="center"/>
                </w:tcPr>
                <w:p w14:paraId="57F6C027">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117.21</w:t>
                  </w:r>
                </w:p>
              </w:tc>
              <w:tc>
                <w:tcPr>
                  <w:tcW w:w="228" w:type="pct"/>
                  <w:tcBorders>
                    <w:tl2br w:val="nil"/>
                    <w:tr2bl w:val="nil"/>
                  </w:tcBorders>
                  <w:shd w:val="clear" w:color="auto" w:fill="auto"/>
                  <w:noWrap w:val="0"/>
                  <w:tcMar>
                    <w:left w:w="28" w:type="dxa"/>
                    <w:right w:w="28" w:type="dxa"/>
                  </w:tcMar>
                  <w:vAlign w:val="center"/>
                </w:tcPr>
                <w:p w14:paraId="2CAE9E41">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c>
                <w:tcPr>
                  <w:tcW w:w="332" w:type="pct"/>
                  <w:tcBorders>
                    <w:tl2br w:val="nil"/>
                    <w:tr2bl w:val="nil"/>
                  </w:tcBorders>
                  <w:shd w:val="clear" w:color="auto" w:fill="auto"/>
                  <w:noWrap w:val="0"/>
                  <w:tcMar>
                    <w:left w:w="28" w:type="dxa"/>
                    <w:right w:w="28" w:type="dxa"/>
                  </w:tcMar>
                  <w:vAlign w:val="center"/>
                </w:tcPr>
                <w:p w14:paraId="34310DA0">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11.2</w:t>
                  </w:r>
                </w:p>
              </w:tc>
              <w:tc>
                <w:tcPr>
                  <w:tcW w:w="377" w:type="pct"/>
                  <w:tcBorders>
                    <w:tl2br w:val="nil"/>
                    <w:tr2bl w:val="nil"/>
                  </w:tcBorders>
                  <w:shd w:val="clear" w:color="auto" w:fill="auto"/>
                  <w:noWrap w:val="0"/>
                  <w:tcMar>
                    <w:left w:w="28" w:type="dxa"/>
                    <w:right w:w="28" w:type="dxa"/>
                  </w:tcMar>
                  <w:vAlign w:val="center"/>
                </w:tcPr>
                <w:p w14:paraId="17479BF6">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72.31</w:t>
                  </w:r>
                </w:p>
              </w:tc>
              <w:tc>
                <w:tcPr>
                  <w:tcW w:w="286" w:type="pct"/>
                  <w:tcBorders>
                    <w:tl2br w:val="nil"/>
                    <w:tr2bl w:val="nil"/>
                  </w:tcBorders>
                  <w:shd w:val="clear" w:color="auto" w:fill="auto"/>
                  <w:noWrap w:val="0"/>
                  <w:tcMar>
                    <w:left w:w="28" w:type="dxa"/>
                    <w:right w:w="28" w:type="dxa"/>
                  </w:tcMar>
                  <w:vAlign w:val="center"/>
                </w:tcPr>
                <w:p w14:paraId="33B15340">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399" w:type="pct"/>
                  <w:tcBorders>
                    <w:tl2br w:val="nil"/>
                    <w:tr2bl w:val="nil"/>
                  </w:tcBorders>
                  <w:shd w:val="clear" w:color="auto" w:fill="auto"/>
                  <w:noWrap w:val="0"/>
                  <w:tcMar>
                    <w:left w:w="28" w:type="dxa"/>
                    <w:right w:w="28" w:type="dxa"/>
                  </w:tcMar>
                  <w:vAlign w:val="center"/>
                </w:tcPr>
                <w:p w14:paraId="2A84EAB4">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26</w:t>
                  </w:r>
                </w:p>
              </w:tc>
              <w:tc>
                <w:tcPr>
                  <w:tcW w:w="356" w:type="pct"/>
                  <w:tcBorders>
                    <w:tl2br w:val="nil"/>
                    <w:tr2bl w:val="nil"/>
                  </w:tcBorders>
                  <w:shd w:val="clear" w:color="auto" w:fill="auto"/>
                  <w:noWrap w:val="0"/>
                  <w:tcMar>
                    <w:left w:w="28" w:type="dxa"/>
                    <w:right w:w="28" w:type="dxa"/>
                  </w:tcMar>
                  <w:vAlign w:val="center"/>
                </w:tcPr>
                <w:p w14:paraId="398AF2F0">
                  <w:pPr>
                    <w:spacing w:before="157" w:beforeLines="50" w:afterLines="0" w:line="360" w:lineRule="auto"/>
                    <w:ind w:left="0" w:leftChars="0" w:right="0" w:rightChars="0"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46.31</w:t>
                  </w:r>
                </w:p>
              </w:tc>
              <w:tc>
                <w:tcPr>
                  <w:tcW w:w="351" w:type="pct"/>
                  <w:tcBorders>
                    <w:tl2br w:val="nil"/>
                    <w:tr2bl w:val="nil"/>
                  </w:tcBorders>
                  <w:shd w:val="clear" w:color="auto" w:fill="auto"/>
                  <w:noWrap w:val="0"/>
                  <w:tcMar>
                    <w:left w:w="28" w:type="dxa"/>
                    <w:right w:w="28" w:type="dxa"/>
                  </w:tcMar>
                  <w:vAlign w:val="center"/>
                </w:tcPr>
                <w:p w14:paraId="049098C3">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r>
            <w:tr w14:paraId="43E10D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8" w:type="pct"/>
                  <w:vMerge w:val="continue"/>
                  <w:tcBorders>
                    <w:tl2br w:val="nil"/>
                    <w:tr2bl w:val="nil"/>
                  </w:tcBorders>
                  <w:shd w:val="clear" w:color="auto" w:fill="auto"/>
                  <w:noWrap w:val="0"/>
                  <w:tcMar>
                    <w:left w:w="28" w:type="dxa"/>
                    <w:right w:w="28" w:type="dxa"/>
                  </w:tcMar>
                  <w:vAlign w:val="center"/>
                </w:tcPr>
                <w:p w14:paraId="6C22647D">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272" w:type="pct"/>
                  <w:vMerge w:val="continue"/>
                  <w:tcBorders>
                    <w:tl2br w:val="nil"/>
                    <w:tr2bl w:val="nil"/>
                  </w:tcBorders>
                  <w:shd w:val="clear" w:color="auto" w:fill="auto"/>
                  <w:noWrap w:val="0"/>
                  <w:tcMar>
                    <w:left w:w="28" w:type="dxa"/>
                    <w:right w:w="28" w:type="dxa"/>
                  </w:tcMar>
                  <w:vAlign w:val="center"/>
                </w:tcPr>
                <w:p w14:paraId="6B67FA56">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88" w:type="pct"/>
                  <w:tcBorders>
                    <w:tl2br w:val="nil"/>
                    <w:tr2bl w:val="nil"/>
                  </w:tcBorders>
                  <w:shd w:val="clear" w:color="auto" w:fill="auto"/>
                  <w:noWrap w:val="0"/>
                  <w:tcMar>
                    <w:left w:w="28" w:type="dxa"/>
                    <w:right w:w="28" w:type="dxa"/>
                  </w:tcMar>
                  <w:vAlign w:val="center"/>
                </w:tcPr>
                <w:p w14:paraId="0257E1F7">
                  <w:pPr>
                    <w:widowControl/>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除尘器</w:t>
                  </w:r>
                </w:p>
              </w:tc>
              <w:tc>
                <w:tcPr>
                  <w:tcW w:w="308" w:type="pct"/>
                  <w:tcBorders>
                    <w:tl2br w:val="nil"/>
                    <w:tr2bl w:val="nil"/>
                  </w:tcBorders>
                  <w:shd w:val="clear" w:color="auto" w:fill="auto"/>
                  <w:noWrap w:val="0"/>
                  <w:tcMar>
                    <w:left w:w="28" w:type="dxa"/>
                    <w:right w:w="28" w:type="dxa"/>
                  </w:tcMar>
                  <w:vAlign w:val="center"/>
                </w:tcPr>
                <w:p w14:paraId="1A0C27A7">
                  <w:pPr>
                    <w:pStyle w:val="104"/>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55" w:type="pct"/>
                  <w:tcBorders>
                    <w:tl2br w:val="nil"/>
                    <w:tr2bl w:val="nil"/>
                  </w:tcBorders>
                  <w:shd w:val="clear" w:color="auto" w:fill="auto"/>
                  <w:noWrap w:val="0"/>
                  <w:tcMar>
                    <w:left w:w="28" w:type="dxa"/>
                    <w:right w:w="28" w:type="dxa"/>
                  </w:tcMar>
                  <w:vAlign w:val="center"/>
                </w:tcPr>
                <w:p w14:paraId="29DDAD0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t>80</w:t>
                  </w:r>
                </w:p>
              </w:tc>
              <w:tc>
                <w:tcPr>
                  <w:tcW w:w="525" w:type="pct"/>
                  <w:tcBorders>
                    <w:tl2br w:val="nil"/>
                    <w:tr2bl w:val="nil"/>
                  </w:tcBorders>
                  <w:shd w:val="clear" w:color="auto" w:fill="auto"/>
                  <w:noWrap w:val="0"/>
                  <w:tcMar>
                    <w:left w:w="28" w:type="dxa"/>
                    <w:right w:w="28" w:type="dxa"/>
                  </w:tcMar>
                  <w:vAlign w:val="center"/>
                </w:tcPr>
                <w:p w14:paraId="15BAE798">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选择低噪声设备、基座减震</w:t>
                  </w:r>
                </w:p>
              </w:tc>
              <w:tc>
                <w:tcPr>
                  <w:tcW w:w="317" w:type="pct"/>
                  <w:tcBorders>
                    <w:tl2br w:val="nil"/>
                    <w:tr2bl w:val="nil"/>
                  </w:tcBorders>
                  <w:shd w:val="clear" w:color="auto" w:fill="auto"/>
                  <w:noWrap w:val="0"/>
                  <w:tcMar>
                    <w:left w:w="28" w:type="dxa"/>
                    <w:right w:w="28" w:type="dxa"/>
                  </w:tcMar>
                  <w:vAlign w:val="center"/>
                </w:tcPr>
                <w:p w14:paraId="3E9DBFB2">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86.71</w:t>
                  </w:r>
                </w:p>
              </w:tc>
              <w:tc>
                <w:tcPr>
                  <w:tcW w:w="330" w:type="pct"/>
                  <w:tcBorders>
                    <w:tl2br w:val="nil"/>
                    <w:tr2bl w:val="nil"/>
                  </w:tcBorders>
                  <w:shd w:val="clear" w:color="auto" w:fill="auto"/>
                  <w:noWrap w:val="0"/>
                  <w:tcMar>
                    <w:left w:w="28" w:type="dxa"/>
                    <w:right w:w="28" w:type="dxa"/>
                  </w:tcMar>
                  <w:vAlign w:val="center"/>
                </w:tcPr>
                <w:p w14:paraId="49E12CF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113.52</w:t>
                  </w:r>
                </w:p>
              </w:tc>
              <w:tc>
                <w:tcPr>
                  <w:tcW w:w="228" w:type="pct"/>
                  <w:tcBorders>
                    <w:tl2br w:val="nil"/>
                    <w:tr2bl w:val="nil"/>
                  </w:tcBorders>
                  <w:shd w:val="clear" w:color="auto" w:fill="auto"/>
                  <w:noWrap w:val="0"/>
                  <w:tcMar>
                    <w:left w:w="28" w:type="dxa"/>
                    <w:right w:w="28" w:type="dxa"/>
                  </w:tcMar>
                  <w:vAlign w:val="center"/>
                </w:tcPr>
                <w:p w14:paraId="1F4807E1">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c>
                <w:tcPr>
                  <w:tcW w:w="332" w:type="pct"/>
                  <w:tcBorders>
                    <w:tl2br w:val="nil"/>
                    <w:tr2bl w:val="nil"/>
                  </w:tcBorders>
                  <w:shd w:val="clear" w:color="auto" w:fill="auto"/>
                  <w:noWrap w:val="0"/>
                  <w:tcMar>
                    <w:left w:w="28" w:type="dxa"/>
                    <w:right w:w="28" w:type="dxa"/>
                  </w:tcMar>
                  <w:vAlign w:val="center"/>
                </w:tcPr>
                <w:p w14:paraId="1C458C1F">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8.32</w:t>
                  </w:r>
                </w:p>
              </w:tc>
              <w:tc>
                <w:tcPr>
                  <w:tcW w:w="377" w:type="pct"/>
                  <w:tcBorders>
                    <w:tl2br w:val="nil"/>
                    <w:tr2bl w:val="nil"/>
                  </w:tcBorders>
                  <w:shd w:val="clear" w:color="auto" w:fill="auto"/>
                  <w:noWrap w:val="0"/>
                  <w:tcMar>
                    <w:left w:w="28" w:type="dxa"/>
                    <w:right w:w="28" w:type="dxa"/>
                  </w:tcMar>
                  <w:vAlign w:val="center"/>
                </w:tcPr>
                <w:p w14:paraId="161B6ABF">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73.11</w:t>
                  </w:r>
                </w:p>
              </w:tc>
              <w:tc>
                <w:tcPr>
                  <w:tcW w:w="286" w:type="pct"/>
                  <w:tcBorders>
                    <w:tl2br w:val="nil"/>
                    <w:tr2bl w:val="nil"/>
                  </w:tcBorders>
                  <w:shd w:val="clear" w:color="auto" w:fill="auto"/>
                  <w:noWrap w:val="0"/>
                  <w:tcMar>
                    <w:left w:w="28" w:type="dxa"/>
                    <w:right w:w="28" w:type="dxa"/>
                  </w:tcMar>
                  <w:vAlign w:val="center"/>
                </w:tcPr>
                <w:p w14:paraId="073402F1">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399" w:type="pct"/>
                  <w:tcBorders>
                    <w:tl2br w:val="nil"/>
                    <w:tr2bl w:val="nil"/>
                  </w:tcBorders>
                  <w:shd w:val="clear" w:color="auto" w:fill="auto"/>
                  <w:noWrap w:val="0"/>
                  <w:tcMar>
                    <w:left w:w="28" w:type="dxa"/>
                    <w:right w:w="28" w:type="dxa"/>
                  </w:tcMar>
                  <w:vAlign w:val="center"/>
                </w:tcPr>
                <w:p w14:paraId="2FDFD4E2">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26</w:t>
                  </w:r>
                </w:p>
              </w:tc>
              <w:tc>
                <w:tcPr>
                  <w:tcW w:w="356" w:type="pct"/>
                  <w:tcBorders>
                    <w:tl2br w:val="nil"/>
                    <w:tr2bl w:val="nil"/>
                  </w:tcBorders>
                  <w:shd w:val="clear" w:color="auto" w:fill="auto"/>
                  <w:noWrap w:val="0"/>
                  <w:tcMar>
                    <w:left w:w="28" w:type="dxa"/>
                    <w:right w:w="28" w:type="dxa"/>
                  </w:tcMar>
                  <w:vAlign w:val="center"/>
                </w:tcPr>
                <w:p w14:paraId="1A7372E3">
                  <w:pPr>
                    <w:spacing w:before="157" w:beforeLines="50" w:afterLines="0" w:line="360" w:lineRule="auto"/>
                    <w:ind w:left="0" w:leftChars="0" w:right="0" w:rightChars="0"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47.11</w:t>
                  </w:r>
                </w:p>
              </w:tc>
              <w:tc>
                <w:tcPr>
                  <w:tcW w:w="351" w:type="pct"/>
                  <w:tcBorders>
                    <w:tl2br w:val="nil"/>
                    <w:tr2bl w:val="nil"/>
                  </w:tcBorders>
                  <w:shd w:val="clear" w:color="auto" w:fill="auto"/>
                  <w:noWrap w:val="0"/>
                  <w:tcMar>
                    <w:left w:w="28" w:type="dxa"/>
                    <w:right w:w="28" w:type="dxa"/>
                  </w:tcMar>
                  <w:vAlign w:val="center"/>
                </w:tcPr>
                <w:p w14:paraId="31BE8D25">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r>
            <w:tr w14:paraId="0FFF1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8" w:type="pct"/>
                  <w:vMerge w:val="continue"/>
                  <w:tcBorders>
                    <w:tl2br w:val="nil"/>
                    <w:tr2bl w:val="nil"/>
                  </w:tcBorders>
                  <w:shd w:val="clear" w:color="auto" w:fill="auto"/>
                  <w:noWrap w:val="0"/>
                  <w:tcMar>
                    <w:left w:w="28" w:type="dxa"/>
                    <w:right w:w="28" w:type="dxa"/>
                  </w:tcMar>
                  <w:vAlign w:val="center"/>
                </w:tcPr>
                <w:p w14:paraId="12B2B6BA">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272" w:type="pct"/>
                  <w:vMerge w:val="continue"/>
                  <w:tcBorders>
                    <w:tl2br w:val="nil"/>
                    <w:tr2bl w:val="nil"/>
                  </w:tcBorders>
                  <w:shd w:val="clear" w:color="auto" w:fill="auto"/>
                  <w:noWrap w:val="0"/>
                  <w:tcMar>
                    <w:left w:w="28" w:type="dxa"/>
                    <w:right w:w="28" w:type="dxa"/>
                  </w:tcMar>
                  <w:vAlign w:val="center"/>
                </w:tcPr>
                <w:p w14:paraId="0CF3FF92">
                  <w:pPr>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88" w:type="pct"/>
                  <w:tcBorders>
                    <w:tl2br w:val="nil"/>
                    <w:tr2bl w:val="nil"/>
                  </w:tcBorders>
                  <w:shd w:val="clear" w:color="auto" w:fill="auto"/>
                  <w:noWrap w:val="0"/>
                  <w:tcMar>
                    <w:left w:w="28" w:type="dxa"/>
                    <w:right w:w="28" w:type="dxa"/>
                  </w:tcMar>
                  <w:vAlign w:val="center"/>
                </w:tcPr>
                <w:p w14:paraId="150399E5">
                  <w:pPr>
                    <w:widowControl/>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风机</w:t>
                  </w:r>
                </w:p>
              </w:tc>
              <w:tc>
                <w:tcPr>
                  <w:tcW w:w="308" w:type="pct"/>
                  <w:tcBorders>
                    <w:tl2br w:val="nil"/>
                    <w:tr2bl w:val="nil"/>
                  </w:tcBorders>
                  <w:shd w:val="clear" w:color="auto" w:fill="auto"/>
                  <w:noWrap w:val="0"/>
                  <w:tcMar>
                    <w:left w:w="28" w:type="dxa"/>
                    <w:right w:w="28" w:type="dxa"/>
                  </w:tcMar>
                  <w:vAlign w:val="center"/>
                </w:tcPr>
                <w:p w14:paraId="4EC3F6D5">
                  <w:pPr>
                    <w:pStyle w:val="104"/>
                    <w:keepNext w:val="0"/>
                    <w:keepLines w:val="0"/>
                    <w:pageBreakBefore w:val="0"/>
                    <w:suppressLineNumbers w:val="0"/>
                    <w:kinsoku/>
                    <w:wordWrap/>
                    <w:overflowPunct/>
                    <w:bidi w:val="0"/>
                    <w:snapToGrid/>
                    <w:spacing w:before="157" w:beforeLines="50" w:beforeAutospacing="0" w:afterLines="0" w:afterAutospacing="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55" w:type="pct"/>
                  <w:tcBorders>
                    <w:tl2br w:val="nil"/>
                    <w:tr2bl w:val="nil"/>
                  </w:tcBorders>
                  <w:shd w:val="clear" w:color="auto" w:fill="auto"/>
                  <w:noWrap w:val="0"/>
                  <w:tcMar>
                    <w:left w:w="28" w:type="dxa"/>
                    <w:right w:w="28" w:type="dxa"/>
                  </w:tcMar>
                  <w:vAlign w:val="center"/>
                </w:tcPr>
                <w:p w14:paraId="032D18FB">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t>90</w:t>
                  </w:r>
                </w:p>
              </w:tc>
              <w:tc>
                <w:tcPr>
                  <w:tcW w:w="525" w:type="pct"/>
                  <w:tcBorders>
                    <w:tl2br w:val="nil"/>
                    <w:tr2bl w:val="nil"/>
                  </w:tcBorders>
                  <w:shd w:val="clear" w:color="auto" w:fill="auto"/>
                  <w:noWrap w:val="0"/>
                  <w:tcMar>
                    <w:left w:w="28" w:type="dxa"/>
                    <w:right w:w="28" w:type="dxa"/>
                  </w:tcMar>
                  <w:vAlign w:val="center"/>
                </w:tcPr>
                <w:p w14:paraId="593CDEDB">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选择低噪声设备、基座减震</w:t>
                  </w:r>
                </w:p>
              </w:tc>
              <w:tc>
                <w:tcPr>
                  <w:tcW w:w="317" w:type="pct"/>
                  <w:tcBorders>
                    <w:tl2br w:val="nil"/>
                    <w:tr2bl w:val="nil"/>
                  </w:tcBorders>
                  <w:shd w:val="clear" w:color="auto" w:fill="auto"/>
                  <w:noWrap w:val="0"/>
                  <w:tcMar>
                    <w:left w:w="28" w:type="dxa"/>
                    <w:right w:w="28" w:type="dxa"/>
                  </w:tcMar>
                  <w:vAlign w:val="center"/>
                </w:tcPr>
                <w:p w14:paraId="0551EA59">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82.53</w:t>
                  </w:r>
                </w:p>
              </w:tc>
              <w:tc>
                <w:tcPr>
                  <w:tcW w:w="330" w:type="pct"/>
                  <w:tcBorders>
                    <w:tl2br w:val="nil"/>
                    <w:tr2bl w:val="nil"/>
                  </w:tcBorders>
                  <w:shd w:val="clear" w:color="auto" w:fill="auto"/>
                  <w:noWrap w:val="0"/>
                  <w:tcMar>
                    <w:left w:w="28" w:type="dxa"/>
                    <w:right w:w="28" w:type="dxa"/>
                  </w:tcMar>
                  <w:vAlign w:val="center"/>
                </w:tcPr>
                <w:p w14:paraId="183B4F5C">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115.31</w:t>
                  </w:r>
                </w:p>
              </w:tc>
              <w:tc>
                <w:tcPr>
                  <w:tcW w:w="228" w:type="pct"/>
                  <w:tcBorders>
                    <w:tl2br w:val="nil"/>
                    <w:tr2bl w:val="nil"/>
                  </w:tcBorders>
                  <w:shd w:val="clear" w:color="auto" w:fill="auto"/>
                  <w:noWrap w:val="0"/>
                  <w:tcMar>
                    <w:left w:w="28" w:type="dxa"/>
                    <w:right w:w="28" w:type="dxa"/>
                  </w:tcMar>
                  <w:vAlign w:val="center"/>
                </w:tcPr>
                <w:p w14:paraId="600C7B5E">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c>
                <w:tcPr>
                  <w:tcW w:w="332" w:type="pct"/>
                  <w:tcBorders>
                    <w:tl2br w:val="nil"/>
                    <w:tr2bl w:val="nil"/>
                  </w:tcBorders>
                  <w:shd w:val="clear" w:color="auto" w:fill="auto"/>
                  <w:noWrap w:val="0"/>
                  <w:tcMar>
                    <w:left w:w="28" w:type="dxa"/>
                    <w:right w:w="28" w:type="dxa"/>
                  </w:tcMar>
                  <w:vAlign w:val="center"/>
                </w:tcPr>
                <w:p w14:paraId="7F954920">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5.87</w:t>
                  </w:r>
                </w:p>
              </w:tc>
              <w:tc>
                <w:tcPr>
                  <w:tcW w:w="377" w:type="pct"/>
                  <w:tcBorders>
                    <w:tl2br w:val="nil"/>
                    <w:tr2bl w:val="nil"/>
                  </w:tcBorders>
                  <w:shd w:val="clear" w:color="auto" w:fill="auto"/>
                  <w:noWrap w:val="0"/>
                  <w:tcMar>
                    <w:left w:w="28" w:type="dxa"/>
                    <w:right w:w="28" w:type="dxa"/>
                  </w:tcMar>
                  <w:vAlign w:val="center"/>
                </w:tcPr>
                <w:p w14:paraId="418C8824">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79.32</w:t>
                  </w:r>
                </w:p>
              </w:tc>
              <w:tc>
                <w:tcPr>
                  <w:tcW w:w="286" w:type="pct"/>
                  <w:tcBorders>
                    <w:tl2br w:val="nil"/>
                    <w:tr2bl w:val="nil"/>
                  </w:tcBorders>
                  <w:shd w:val="clear" w:color="auto" w:fill="auto"/>
                  <w:noWrap w:val="0"/>
                  <w:tcMar>
                    <w:left w:w="28" w:type="dxa"/>
                    <w:right w:w="28" w:type="dxa"/>
                  </w:tcMar>
                  <w:vAlign w:val="center"/>
                </w:tcPr>
                <w:p w14:paraId="72FCE434">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399" w:type="pct"/>
                  <w:tcBorders>
                    <w:tl2br w:val="nil"/>
                    <w:tr2bl w:val="nil"/>
                  </w:tcBorders>
                  <w:shd w:val="clear" w:color="auto" w:fill="auto"/>
                  <w:noWrap w:val="0"/>
                  <w:tcMar>
                    <w:left w:w="28" w:type="dxa"/>
                    <w:right w:w="28" w:type="dxa"/>
                  </w:tcMar>
                  <w:vAlign w:val="center"/>
                </w:tcPr>
                <w:p w14:paraId="6E294EC2">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26</w:t>
                  </w:r>
                </w:p>
              </w:tc>
              <w:tc>
                <w:tcPr>
                  <w:tcW w:w="356" w:type="pct"/>
                  <w:tcBorders>
                    <w:tl2br w:val="nil"/>
                    <w:tr2bl w:val="nil"/>
                  </w:tcBorders>
                  <w:shd w:val="clear" w:color="auto" w:fill="auto"/>
                  <w:noWrap w:val="0"/>
                  <w:tcMar>
                    <w:left w:w="28" w:type="dxa"/>
                    <w:right w:w="28" w:type="dxa"/>
                  </w:tcMar>
                  <w:vAlign w:val="center"/>
                </w:tcPr>
                <w:p w14:paraId="38C5A598">
                  <w:pPr>
                    <w:spacing w:before="157" w:beforeLines="50" w:afterLines="0" w:line="360" w:lineRule="auto"/>
                    <w:ind w:left="0" w:leftChars="0" w:right="0" w:rightChars="0"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53.32</w:t>
                  </w:r>
                </w:p>
              </w:tc>
              <w:tc>
                <w:tcPr>
                  <w:tcW w:w="351" w:type="pct"/>
                  <w:tcBorders>
                    <w:tl2br w:val="nil"/>
                    <w:tr2bl w:val="nil"/>
                  </w:tcBorders>
                  <w:shd w:val="clear" w:color="auto" w:fill="auto"/>
                  <w:noWrap w:val="0"/>
                  <w:tcMar>
                    <w:left w:w="28" w:type="dxa"/>
                    <w:right w:w="28" w:type="dxa"/>
                  </w:tcMar>
                  <w:vAlign w:val="center"/>
                </w:tcPr>
                <w:p w14:paraId="32E90794">
                  <w:pPr>
                    <w:keepLines w:val="0"/>
                    <w:pageBreakBefore w:val="0"/>
                    <w:kinsoku/>
                    <w:wordWrap/>
                    <w:overflowPunct/>
                    <w:bidi w:val="0"/>
                    <w:snapToGrid/>
                    <w:spacing w:before="157" w:beforeLines="50" w:afterLines="0" w:line="36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1</w:t>
                  </w:r>
                </w:p>
              </w:tc>
            </w:tr>
          </w:tbl>
          <w:p w14:paraId="22439564">
            <w:pPr>
              <w:keepNext w:val="0"/>
              <w:keepLines w:val="0"/>
              <w:pageBreakBefore w:val="0"/>
              <w:widowControl w:val="0"/>
              <w:kinsoku/>
              <w:wordWrap/>
              <w:overflowPunct/>
              <w:topLinePunct w:val="0"/>
              <w:autoSpaceDE/>
              <w:autoSpaceDN/>
              <w:bidi w:val="0"/>
              <w:adjustRightInd w:val="0"/>
              <w:snapToGrid/>
              <w:spacing w:beforeLines="0" w:afterLines="0" w:line="360" w:lineRule="auto"/>
              <w:ind w:firstLine="482" w:firstLineChars="200"/>
              <w:textAlignment w:val="auto"/>
              <w:rPr>
                <w:rStyle w:val="101"/>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101"/>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Style w:val="101"/>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Style w:val="101"/>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Style w:val="101"/>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预测方案</w:t>
            </w:r>
          </w:p>
          <w:p w14:paraId="22DFAD53">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1）预测模式</w:t>
            </w:r>
          </w:p>
          <w:p w14:paraId="527B2BB1">
            <w:pPr>
              <w:pStyle w:val="103"/>
              <w:keepNext w:val="0"/>
              <w:keepLines w:val="0"/>
              <w:pageBreakBefore w:val="0"/>
              <w:widowControl w:val="0"/>
              <w:kinsoku/>
              <w:wordWrap/>
              <w:overflowPunct/>
              <w:topLinePunct w:val="0"/>
              <w:autoSpaceDE/>
              <w:autoSpaceDN/>
              <w:bidi w:val="0"/>
              <w:snapToGrid/>
              <w:spacing w:beforeLines="0" w:afterLines="0" w:line="360" w:lineRule="auto"/>
              <w:ind w:firstLine="480" w:firstLineChars="200"/>
              <w:jc w:val="left"/>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根据《环境影响评价技术导则 声环境》（HJ2.4-2021），采用多个点声源叠加模式和无指向性点声源几何发散衰减模式进行预测，预测方法为：</w:t>
            </w:r>
          </w:p>
          <w:p w14:paraId="3700CF58">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begin"/>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instrText xml:space="preserve"> = 1 \* GB3 \* MERGEFORMAT </w:instrTex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separate"/>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①</w: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end"/>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工业企业噪声计算</w:t>
            </w:r>
          </w:p>
          <w:p w14:paraId="17806B9C">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6CCC4ED7">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0" w:firstLineChars="0"/>
              <w:jc w:val="cente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object>
                <v:shape id="_x0000_i1032" o:spt="75" type="#_x0000_t75" style="height:30.05pt;width:221.65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p>
          <w:p w14:paraId="357F4A1A">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式中：Leqg—建设项目声源在预测点产生的噪声贡献值，dB；</w:t>
            </w:r>
          </w:p>
          <w:p w14:paraId="18835A1D">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T—用于计算等效声级的时间，s；</w:t>
            </w:r>
          </w:p>
          <w:p w14:paraId="773F826D">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N—室外声源个数；</w:t>
            </w:r>
          </w:p>
          <w:p w14:paraId="20F1073F">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ti— 在T时间内i声源工作时间，s；</w:t>
            </w:r>
          </w:p>
          <w:p w14:paraId="43A8CC27">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M—等效室外声源个数；</w:t>
            </w:r>
          </w:p>
          <w:p w14:paraId="624D73A4">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tj— 在T时间内j声源工作时间，s。</w:t>
            </w:r>
          </w:p>
          <w:p w14:paraId="71D8CBCB">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begin"/>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instrText xml:space="preserve"> = 2 \* GB3 \* MERGEFORMAT </w:instrTex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separate"/>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②</w: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end"/>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噪声预测值计算公式</w:t>
            </w:r>
          </w:p>
          <w:p w14:paraId="275F10F8">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jc w:val="cente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object>
                <v:shape id="_x0000_i1033" o:spt="75" type="#_x0000_t75" style="height:30.05pt;width:162.15pt;" o:ole="t" filled="f" o:preferrelative="t" stroked="f" coordsize="21600,21600">
                  <v:path/>
                  <v:fill on="f" focussize="0,0"/>
                  <v:stroke on="f"/>
                  <v:imagedata r:id="rId34" o:title=""/>
                  <o:lock v:ext="edit" aspectratio="t"/>
                  <w10:wrap type="none"/>
                  <w10:anchorlock/>
                </v:shape>
                <o:OLEObject Type="Embed" ProgID="Equation.3" ShapeID="_x0000_i1033" DrawAspect="Content" ObjectID="_1468075733" r:id="rId33">
                  <o:LockedField>false</o:LockedField>
                </o:OLEObject>
              </w:object>
            </w:r>
          </w:p>
          <w:p w14:paraId="68FD577C">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式中：Leq—预测点的噪声预测点值，dB；</w:t>
            </w:r>
          </w:p>
          <w:p w14:paraId="733229E5">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Leqg—建设项目声源在预测点的等效声级贡献值，dB；</w:t>
            </w:r>
          </w:p>
          <w:p w14:paraId="32212264">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Leqb—预测点的背景值，dB。</w:t>
            </w:r>
          </w:p>
          <w:p w14:paraId="5AC69055">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begin"/>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instrText xml:space="preserve"> = 3 \* GB3 \* MERGEFORMAT </w:instrTex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separate"/>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③</w: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fldChar w:fldCharType="end"/>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户外声传播衰减计算</w:t>
            </w:r>
          </w:p>
          <w:p w14:paraId="47ACCF14">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户外声传播衰减包括几何发散（Adiv）、大气吸收（Aatm）、地面效应（Agr）、屏障屏蔽（Abar）、其他多方面效应（Amisc）引起的衰减。</w:t>
            </w:r>
          </w:p>
          <w:p w14:paraId="46B631F8">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距声源点r处的A声级按下式计算：</w:t>
            </w:r>
          </w:p>
          <w:p w14:paraId="375E748D">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jc w:val="cente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object>
                <v:shape id="_x0000_i1034" o:spt="75" type="#_x0000_t75" style="height:18.15pt;width:239.8pt;" o:ole="t" filled="f" o:preferrelative="t" stroked="f" coordsize="21600,21600">
                  <v:path/>
                  <v:fill on="f" focussize="0,0"/>
                  <v:stroke on="f"/>
                  <v:imagedata r:id="rId36" o:title=""/>
                  <o:lock v:ext="edit" aspectratio="t"/>
                  <w10:wrap type="none"/>
                  <w10:anchorlock/>
                </v:shape>
                <o:OLEObject Type="Embed" ProgID="Equation.3" ShapeID="_x0000_i1034" DrawAspect="Content" ObjectID="_1468075734" r:id="rId35">
                  <o:LockedField>false</o:LockedField>
                </o:OLEObject>
              </w:object>
            </w:r>
          </w:p>
          <w:p w14:paraId="63F81640">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式中：Lp</w:t>
            </w:r>
            <w:r>
              <w:rPr>
                <w:rFonts w:hint="default" w:ascii="Times New Roman" w:hAnsi="Times New Roman" w:cs="Times New Roman"/>
                <w:b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r</w:t>
            </w:r>
            <w:r>
              <w:rPr>
                <w:rFonts w:hint="default" w:ascii="Times New Roman" w:hAnsi="Times New Roman" w:cs="Times New Roman"/>
                <w:b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—预测点处声压级，dB；</w:t>
            </w:r>
          </w:p>
          <w:p w14:paraId="56ACA195">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LW—由点声源产生的声功率级（A计权或倍频带），dB；</w:t>
            </w:r>
          </w:p>
          <w:p w14:paraId="2CE4A0CC">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Dc—指向性校正，它描述点声源的等效连续声压级与产生声功率级Lw的全向点声源在规定方向的声级的偏差程度，dB；</w:t>
            </w:r>
          </w:p>
          <w:p w14:paraId="09336025">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Adiv—几何发散引起的衰减，dB；</w:t>
            </w:r>
          </w:p>
          <w:p w14:paraId="5D7D926E">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Aatm—大气吸收引起的衰减，dB；</w:t>
            </w:r>
          </w:p>
          <w:p w14:paraId="539044CD">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Agr—地面效应引起的衰减，dB；</w:t>
            </w:r>
          </w:p>
          <w:p w14:paraId="3450E490">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Abar—障碍物屏蔽引起的衰减，dB；</w:t>
            </w:r>
          </w:p>
          <w:p w14:paraId="513C4E5B">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1200" w:firstLineChars="5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Amisc—其他多方面效应引起的衰减，dB。</w:t>
            </w:r>
          </w:p>
          <w:p w14:paraId="614ABD66">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2）噪声评价方法</w:t>
            </w:r>
          </w:p>
          <w:p w14:paraId="567762FE">
            <w:pPr>
              <w:pStyle w:val="6"/>
              <w:keepNext w:val="0"/>
              <w:keepLines w:val="0"/>
              <w:pageBreakBefore w:val="0"/>
              <w:widowControl w:val="0"/>
              <w:numPr>
                <w:ilvl w:val="3"/>
                <w:numId w:val="0"/>
              </w:numPr>
              <w:tabs>
                <w:tab w:val="left" w:pos="567"/>
              </w:tabs>
              <w:kinsoku/>
              <w:wordWrap/>
              <w:overflowPunct/>
              <w:topLinePunct w:val="0"/>
              <w:autoSpaceDE/>
              <w:autoSpaceDN/>
              <w:bidi w:val="0"/>
              <w:adjustRightInd w:val="0"/>
              <w:snapToGrid/>
              <w:spacing w:before="0" w:beforeLines="0" w:after="0" w:afterLines="0"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bidi="ar"/>
                <w14:textFill>
                  <w14:solidFill>
                    <w14:schemeClr w14:val="tx1"/>
                  </w14:solidFill>
                </w14:textFill>
              </w:rPr>
              <w:t>评价利用噪声衰减模式计算出各噪声源对不同预测点的噪声源贡献值，再将各自预测点的噪声贡献值叠加即得到本项目对各预测点的噪声贡献值，最后与监测点的噪声现状值叠加，得到各预测值。</w:t>
            </w:r>
          </w:p>
          <w:p w14:paraId="07958247">
            <w:pPr>
              <w:tabs>
                <w:tab w:val="left" w:pos="195"/>
              </w:tabs>
              <w:spacing w:beforeLines="0" w:afterLines="0" w:line="360" w:lineRule="auto"/>
              <w:ind w:firstLine="482"/>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（3）预测结果</w:t>
            </w:r>
          </w:p>
          <w:p w14:paraId="66C3A2FB">
            <w:pPr>
              <w:pStyle w:val="77"/>
              <w:keepLines w:val="0"/>
              <w:pageBreakBefore w:val="0"/>
              <w:numPr>
                <w:ilvl w:val="0"/>
                <w:numId w:val="0"/>
              </w:numPr>
              <w:tabs>
                <w:tab w:val="left" w:pos="2093"/>
              </w:tabs>
              <w:kinsoku/>
              <w:bidi w:val="0"/>
              <w:snapToGrid/>
              <w:spacing w:beforeLines="0" w:afterLines="0" w:line="360" w:lineRule="auto"/>
              <w:ind w:left="0" w:leftChars="0" w:right="0" w:firstLine="480" w:firstLineChars="200"/>
              <w:jc w:val="both"/>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按照预测模式及选取参数，计算项目噪声源对四周厂界的昼间噪声贡献值，预测结果见下表。</w:t>
            </w:r>
          </w:p>
          <w:p w14:paraId="70B55E41">
            <w:pPr>
              <w:keepNext w:val="0"/>
              <w:keepLines w:val="0"/>
              <w:pageBreakBefore w:val="0"/>
              <w:kinsoku/>
              <w:wordWrap/>
              <w:overflowPunct/>
              <w:topLinePunct w:val="0"/>
              <w:autoSpaceDE/>
              <w:autoSpaceDN/>
              <w:bidi w:val="0"/>
              <w:adjustRightInd/>
              <w:snapToGrid/>
              <w:spacing w:beforeLines="0" w:afterLines="0" w:line="360" w:lineRule="auto"/>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4-</w:t>
            </w:r>
            <w:r>
              <w:rPr>
                <w:rFonts w:hint="eastAsia" w:cs="Times New Roman"/>
                <w:b/>
                <w:color w:val="000000" w:themeColor="text1"/>
                <w:sz w:val="21"/>
                <w:szCs w:val="21"/>
                <w:highlight w:val="none"/>
                <w:lang w:val="en-US" w:eastAsia="zh-CN"/>
                <w14:textFill>
                  <w14:solidFill>
                    <w14:schemeClr w14:val="tx1"/>
                  </w14:solidFill>
                </w14:textFill>
              </w:rPr>
              <w:t xml:space="preserve">16 </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本项目厂界噪声预测结果一览表  单位：dB（A）</w:t>
            </w:r>
          </w:p>
          <w:tbl>
            <w:tblPr>
              <w:tblStyle w:val="35"/>
              <w:tblW w:w="492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1420"/>
              <w:gridCol w:w="2321"/>
              <w:gridCol w:w="2321"/>
              <w:gridCol w:w="1877"/>
            </w:tblGrid>
            <w:tr w14:paraId="36D775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4" w:type="pct"/>
                  <w:tcBorders>
                    <w:tl2br w:val="nil"/>
                    <w:tr2bl w:val="nil"/>
                  </w:tcBorders>
                  <w:shd w:val="clear" w:color="auto" w:fill="auto"/>
                  <w:noWrap w:val="0"/>
                  <w:vAlign w:val="center"/>
                </w:tcPr>
                <w:p w14:paraId="0E979159">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名称</w:t>
                  </w:r>
                </w:p>
              </w:tc>
              <w:tc>
                <w:tcPr>
                  <w:tcW w:w="1461" w:type="pct"/>
                  <w:tcBorders>
                    <w:tl2br w:val="nil"/>
                    <w:tr2bl w:val="nil"/>
                  </w:tcBorders>
                  <w:shd w:val="clear" w:color="auto" w:fill="auto"/>
                  <w:noWrap w:val="0"/>
                  <w:vAlign w:val="center"/>
                </w:tcPr>
                <w:p w14:paraId="35B8795E">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昼间贡献值</w:t>
                  </w:r>
                </w:p>
              </w:tc>
              <w:tc>
                <w:tcPr>
                  <w:tcW w:w="1461" w:type="pct"/>
                  <w:tcBorders>
                    <w:tl2br w:val="nil"/>
                    <w:tr2bl w:val="nil"/>
                  </w:tcBorders>
                  <w:shd w:val="clear" w:color="auto" w:fill="auto"/>
                  <w:noWrap w:val="0"/>
                  <w:vAlign w:val="center"/>
                </w:tcPr>
                <w:p w14:paraId="1654D9E1">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昼间标准值</w:t>
                  </w:r>
                </w:p>
              </w:tc>
              <w:tc>
                <w:tcPr>
                  <w:tcW w:w="1182" w:type="pct"/>
                  <w:tcBorders>
                    <w:tl2br w:val="nil"/>
                    <w:tr2bl w:val="nil"/>
                  </w:tcBorders>
                  <w:shd w:val="clear" w:color="auto" w:fill="auto"/>
                  <w:noWrap w:val="0"/>
                  <w:vAlign w:val="center"/>
                </w:tcPr>
                <w:p w14:paraId="4B507476">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评价结果</w:t>
                  </w:r>
                </w:p>
              </w:tc>
            </w:tr>
            <w:tr w14:paraId="1FB65D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4" w:type="pct"/>
                  <w:tcBorders>
                    <w:tl2br w:val="nil"/>
                    <w:tr2bl w:val="nil"/>
                  </w:tcBorders>
                  <w:shd w:val="clear" w:color="auto" w:fill="auto"/>
                  <w:noWrap w:val="0"/>
                  <w:vAlign w:val="center"/>
                </w:tcPr>
                <w:p w14:paraId="7F93C05E">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东厂界</w:t>
                  </w:r>
                </w:p>
              </w:tc>
              <w:tc>
                <w:tcPr>
                  <w:tcW w:w="1461" w:type="pct"/>
                  <w:tcBorders>
                    <w:tl2br w:val="nil"/>
                    <w:tr2bl w:val="nil"/>
                  </w:tcBorders>
                  <w:shd w:val="clear" w:color="auto" w:fill="auto"/>
                  <w:noWrap w:val="0"/>
                  <w:vAlign w:val="center"/>
                </w:tcPr>
                <w:p w14:paraId="590293F1">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hAnsi="Times New Roman" w:cs="Times New Roman"/>
                      <w:color w:val="000000" w:themeColor="text1"/>
                      <w:kern w:val="0"/>
                      <w:sz w:val="21"/>
                      <w:szCs w:val="21"/>
                      <w:highlight w:val="none"/>
                      <w:lang w:val="en-US" w:eastAsia="zh-CN"/>
                      <w14:textFill>
                        <w14:solidFill>
                          <w14:schemeClr w14:val="tx1"/>
                        </w14:solidFill>
                      </w14:textFill>
                    </w:rPr>
                    <w:t>35</w:t>
                  </w:r>
                </w:p>
              </w:tc>
              <w:tc>
                <w:tcPr>
                  <w:tcW w:w="1461" w:type="pct"/>
                  <w:tcBorders>
                    <w:tl2br w:val="nil"/>
                    <w:tr2bl w:val="nil"/>
                  </w:tcBorders>
                  <w:shd w:val="clear" w:color="auto" w:fill="auto"/>
                  <w:noWrap w:val="0"/>
                  <w:vAlign w:val="center"/>
                </w:tcPr>
                <w:p w14:paraId="79C7435B">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1182" w:type="pct"/>
                  <w:tcBorders>
                    <w:tl2br w:val="nil"/>
                    <w:tr2bl w:val="nil"/>
                  </w:tcBorders>
                  <w:shd w:val="clear" w:color="auto" w:fill="auto"/>
                  <w:noWrap w:val="0"/>
                  <w:vAlign w:val="center"/>
                </w:tcPr>
                <w:p w14:paraId="6B15C69D">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0ECDA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4" w:type="pct"/>
                  <w:tcBorders>
                    <w:tl2br w:val="nil"/>
                    <w:tr2bl w:val="nil"/>
                  </w:tcBorders>
                  <w:shd w:val="clear" w:color="auto" w:fill="auto"/>
                  <w:noWrap w:val="0"/>
                  <w:vAlign w:val="center"/>
                </w:tcPr>
                <w:p w14:paraId="17D38474">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南厂界</w:t>
                  </w:r>
                </w:p>
              </w:tc>
              <w:tc>
                <w:tcPr>
                  <w:tcW w:w="1461" w:type="pct"/>
                  <w:tcBorders>
                    <w:tl2br w:val="nil"/>
                    <w:tr2bl w:val="nil"/>
                  </w:tcBorders>
                  <w:shd w:val="clear" w:color="auto" w:fill="auto"/>
                  <w:noWrap w:val="0"/>
                  <w:vAlign w:val="center"/>
                </w:tcPr>
                <w:p w14:paraId="3CA7C5F9">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hAnsi="Times New Roman" w:cs="Times New Roman"/>
                      <w:color w:val="000000" w:themeColor="text1"/>
                      <w:kern w:val="0"/>
                      <w:sz w:val="21"/>
                      <w:szCs w:val="21"/>
                      <w:highlight w:val="none"/>
                      <w:lang w:val="en-US" w:eastAsia="zh-CN"/>
                      <w14:textFill>
                        <w14:solidFill>
                          <w14:schemeClr w14:val="tx1"/>
                        </w14:solidFill>
                      </w14:textFill>
                    </w:rPr>
                    <w:t>32</w:t>
                  </w:r>
                </w:p>
              </w:tc>
              <w:tc>
                <w:tcPr>
                  <w:tcW w:w="1461" w:type="pct"/>
                  <w:tcBorders>
                    <w:tl2br w:val="nil"/>
                    <w:tr2bl w:val="nil"/>
                  </w:tcBorders>
                  <w:shd w:val="clear" w:color="auto" w:fill="auto"/>
                  <w:noWrap w:val="0"/>
                  <w:vAlign w:val="center"/>
                </w:tcPr>
                <w:p w14:paraId="0AC43077">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1182" w:type="pct"/>
                  <w:tcBorders>
                    <w:tl2br w:val="nil"/>
                    <w:tr2bl w:val="nil"/>
                  </w:tcBorders>
                  <w:shd w:val="clear" w:color="auto" w:fill="auto"/>
                  <w:noWrap w:val="0"/>
                  <w:vAlign w:val="center"/>
                </w:tcPr>
                <w:p w14:paraId="64B47863">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6DE8F0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90" w:hRule="atLeast"/>
                <w:jc w:val="center"/>
              </w:trPr>
              <w:tc>
                <w:tcPr>
                  <w:tcW w:w="894" w:type="pct"/>
                  <w:tcBorders>
                    <w:tl2br w:val="nil"/>
                    <w:tr2bl w:val="nil"/>
                  </w:tcBorders>
                  <w:shd w:val="clear" w:color="auto" w:fill="auto"/>
                  <w:noWrap w:val="0"/>
                  <w:vAlign w:val="center"/>
                </w:tcPr>
                <w:p w14:paraId="4C75F531">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西厂界</w:t>
                  </w:r>
                </w:p>
              </w:tc>
              <w:tc>
                <w:tcPr>
                  <w:tcW w:w="1461" w:type="pct"/>
                  <w:tcBorders>
                    <w:tl2br w:val="nil"/>
                    <w:tr2bl w:val="nil"/>
                  </w:tcBorders>
                  <w:shd w:val="clear" w:color="auto" w:fill="auto"/>
                  <w:noWrap w:val="0"/>
                  <w:vAlign w:val="center"/>
                </w:tcPr>
                <w:p w14:paraId="361AD52D">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30</w:t>
                  </w:r>
                </w:p>
              </w:tc>
              <w:tc>
                <w:tcPr>
                  <w:tcW w:w="1461" w:type="pct"/>
                  <w:tcBorders>
                    <w:tl2br w:val="nil"/>
                    <w:tr2bl w:val="nil"/>
                  </w:tcBorders>
                  <w:shd w:val="clear" w:color="auto" w:fill="auto"/>
                  <w:noWrap w:val="0"/>
                  <w:vAlign w:val="center"/>
                </w:tcPr>
                <w:p w14:paraId="62E9B0AD">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1182" w:type="pct"/>
                  <w:tcBorders>
                    <w:tl2br w:val="nil"/>
                    <w:tr2bl w:val="nil"/>
                  </w:tcBorders>
                  <w:shd w:val="clear" w:color="auto" w:fill="auto"/>
                  <w:noWrap w:val="0"/>
                  <w:vAlign w:val="center"/>
                </w:tcPr>
                <w:p w14:paraId="0CB334A0">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14B4C7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4" w:type="pct"/>
                  <w:tcBorders>
                    <w:tl2br w:val="nil"/>
                    <w:tr2bl w:val="nil"/>
                  </w:tcBorders>
                  <w:shd w:val="clear" w:color="auto" w:fill="auto"/>
                  <w:noWrap w:val="0"/>
                  <w:vAlign w:val="center"/>
                </w:tcPr>
                <w:p w14:paraId="7A1D1459">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北厂界</w:t>
                  </w:r>
                </w:p>
              </w:tc>
              <w:tc>
                <w:tcPr>
                  <w:tcW w:w="1461" w:type="pct"/>
                  <w:tcBorders>
                    <w:tl2br w:val="nil"/>
                    <w:tr2bl w:val="nil"/>
                  </w:tcBorders>
                  <w:shd w:val="clear" w:color="auto" w:fill="auto"/>
                  <w:noWrap w:val="0"/>
                  <w:vAlign w:val="center"/>
                </w:tcPr>
                <w:p w14:paraId="2B3EECC3">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hAnsi="Times New Roman" w:cs="Times New Roman"/>
                      <w:color w:val="000000" w:themeColor="text1"/>
                      <w:kern w:val="0"/>
                      <w:sz w:val="21"/>
                      <w:szCs w:val="21"/>
                      <w:highlight w:val="none"/>
                      <w:lang w:val="en-US" w:eastAsia="zh-CN"/>
                      <w14:textFill>
                        <w14:solidFill>
                          <w14:schemeClr w14:val="tx1"/>
                        </w14:solidFill>
                      </w14:textFill>
                    </w:rPr>
                    <w:t>22</w:t>
                  </w:r>
                </w:p>
              </w:tc>
              <w:tc>
                <w:tcPr>
                  <w:tcW w:w="1461" w:type="pct"/>
                  <w:tcBorders>
                    <w:tl2br w:val="nil"/>
                    <w:tr2bl w:val="nil"/>
                  </w:tcBorders>
                  <w:shd w:val="clear" w:color="auto" w:fill="auto"/>
                  <w:noWrap w:val="0"/>
                  <w:vAlign w:val="center"/>
                </w:tcPr>
                <w:p w14:paraId="68871F98">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1182" w:type="pct"/>
                  <w:tcBorders>
                    <w:tl2br w:val="nil"/>
                    <w:tr2bl w:val="nil"/>
                  </w:tcBorders>
                  <w:shd w:val="clear" w:color="auto" w:fill="auto"/>
                  <w:noWrap w:val="0"/>
                  <w:vAlign w:val="center"/>
                </w:tcPr>
                <w:p w14:paraId="3336CEFF">
                  <w:pPr>
                    <w:pStyle w:val="75"/>
                    <w:keepNext w:val="0"/>
                    <w:keepLines w:val="0"/>
                    <w:pageBreakBefore w:val="0"/>
                    <w:kinsoku/>
                    <w:wordWrap/>
                    <w:overflowPunct/>
                    <w:bidi w:val="0"/>
                    <w:adjustRightInd/>
                    <w:snapToGrid/>
                    <w:spacing w:before="157" w:beforeLines="50" w:afterLines="0" w:line="360" w:lineRule="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bl>
          <w:p w14:paraId="49630302">
            <w:pPr>
              <w:pStyle w:val="40"/>
              <w:rPr>
                <w:color w:val="000000" w:themeColor="text1"/>
                <w:highlight w:val="none"/>
                <w14:textFill>
                  <w14:solidFill>
                    <w14:schemeClr w14:val="tx1"/>
                  </w14:solidFill>
                </w14:textFill>
              </w:rPr>
            </w:pPr>
          </w:p>
          <w:p w14:paraId="24E16553">
            <w:pPr>
              <w:keepNext w:val="0"/>
              <w:keepLines w:val="0"/>
              <w:pageBreakBefore w:val="0"/>
              <w:widowControl w:val="0"/>
              <w:tabs>
                <w:tab w:val="left" w:pos="195"/>
              </w:tabs>
              <w:kinsoku/>
              <w:wordWrap/>
              <w:overflowPunct/>
              <w:topLinePunct w:val="0"/>
              <w:autoSpaceDE/>
              <w:autoSpaceDN/>
              <w:bidi w:val="0"/>
              <w:adjustRightInd/>
              <w:snapToGrid/>
              <w:spacing w:beforeLines="0" w:afterLines="0" w:line="360" w:lineRule="auto"/>
              <w:ind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drawing>
                <wp:inline distT="0" distB="0" distL="114300" distR="114300">
                  <wp:extent cx="4646930" cy="3620770"/>
                  <wp:effectExtent l="0" t="0" r="1270" b="177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7"/>
                          <a:stretch>
                            <a:fillRect/>
                          </a:stretch>
                        </pic:blipFill>
                        <pic:spPr>
                          <a:xfrm>
                            <a:off x="0" y="0"/>
                            <a:ext cx="4646930" cy="3620770"/>
                          </a:xfrm>
                          <a:prstGeom prst="rect">
                            <a:avLst/>
                          </a:prstGeom>
                          <a:noFill/>
                          <a:ln>
                            <a:noFill/>
                          </a:ln>
                        </pic:spPr>
                      </pic:pic>
                    </a:graphicData>
                  </a:graphic>
                </wp:inline>
              </w:drawing>
            </w:r>
          </w:p>
          <w:p w14:paraId="3A4AA57A">
            <w:pPr>
              <w:keepNext w:val="0"/>
              <w:keepLines w:val="0"/>
              <w:pageBreakBefore w:val="0"/>
              <w:widowControl w:val="0"/>
              <w:tabs>
                <w:tab w:val="left" w:pos="195"/>
              </w:tabs>
              <w:kinsoku/>
              <w:wordWrap/>
              <w:overflowPunct/>
              <w:topLinePunct w:val="0"/>
              <w:autoSpaceDE/>
              <w:autoSpaceDN/>
              <w:bidi w:val="0"/>
              <w:adjustRightInd/>
              <w:snapToGrid/>
              <w:spacing w:beforeLines="0" w:afterLines="0" w:line="360" w:lineRule="auto"/>
              <w:ind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图4-1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等</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值线图</w:t>
            </w:r>
          </w:p>
          <w:p w14:paraId="0761CCF2">
            <w:pPr>
              <w:keepNext w:val="0"/>
              <w:keepLines w:val="0"/>
              <w:pageBreakBefore w:val="0"/>
              <w:widowControl w:val="0"/>
              <w:tabs>
                <w:tab w:val="left" w:pos="195"/>
              </w:tabs>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根据噪声预测结果，项目噪声源对四周厂界的噪声贡献值满足《工业企业厂界环境噪声排放标准》（GB12348-2008）2类。</w:t>
            </w:r>
          </w:p>
          <w:p w14:paraId="53C531F0">
            <w:pPr>
              <w:keepNext w:val="0"/>
              <w:keepLines w:val="0"/>
              <w:pageBreakBefore w:val="0"/>
              <w:widowControl w:val="0"/>
              <w:tabs>
                <w:tab w:val="left" w:pos="195"/>
              </w:tabs>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因此，项目实施后对周围声环境影响不明显。</w:t>
            </w:r>
          </w:p>
          <w:p w14:paraId="3BEBD26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监测计划：</w:t>
            </w:r>
          </w:p>
          <w:p w14:paraId="67AD3535">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0" w:firstLineChars="200"/>
              <w:rPr>
                <w:rFonts w:hint="default" w:ascii="Times New Roman" w:hAnsi="Times New Roman" w:eastAsia="宋体" w:cs="Times New Roman"/>
                <w:b w:val="0"/>
                <w:bCs w:val="0"/>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lang w:val="en-US" w:eastAsia="zh-CN"/>
                <w14:textFill>
                  <w14:solidFill>
                    <w14:schemeClr w14:val="tx1"/>
                  </w14:solidFill>
                </w14:textFill>
              </w:rPr>
              <w:t>参照《排污许可证申请与核发技术规范 总则》（HJ942-2018）、《排污单位自行监测技术指南 总则》（HJ819-2017），本项目厂界噪声采取如下监测计划：</w:t>
            </w:r>
          </w:p>
          <w:p w14:paraId="0AA18CC6">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cente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表4-</w:t>
            </w:r>
            <w:r>
              <w:rPr>
                <w:rFonts w:hint="default" w:ascii="Times New Roman" w:hAnsi="Times New Roman" w:cs="Times New Roman"/>
                <w:b/>
                <w:bCs/>
                <w:snapToGrid w:val="0"/>
                <w:color w:val="000000" w:themeColor="text1"/>
                <w:sz w:val="21"/>
                <w:szCs w:val="21"/>
                <w:highlight w:val="none"/>
                <w:lang w:val="en-US" w:eastAsia="zh-CN"/>
                <w14:textFill>
                  <w14:solidFill>
                    <w14:schemeClr w14:val="tx1"/>
                  </w14:solidFill>
                </w14:textFill>
              </w:rPr>
              <w:t>1</w:t>
            </w:r>
            <w:r>
              <w:rPr>
                <w:rFonts w:hint="eastAsia" w:cs="Times New Roman"/>
                <w:b/>
                <w:bCs/>
                <w:snapToGrid w:val="0"/>
                <w:color w:val="000000" w:themeColor="text1"/>
                <w:sz w:val="21"/>
                <w:szCs w:val="21"/>
                <w:highlight w:val="none"/>
                <w:lang w:val="en-US" w:eastAsia="zh-CN"/>
                <w14:textFill>
                  <w14:solidFill>
                    <w14:schemeClr w14:val="tx1"/>
                  </w14:solidFill>
                </w14:textFill>
              </w:rPr>
              <w:t xml:space="preserve">7  </w:t>
            </w: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项目监测计划一览表</w:t>
            </w:r>
          </w:p>
          <w:tbl>
            <w:tblPr>
              <w:tblStyle w:val="35"/>
              <w:tblW w:w="4997"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980"/>
              <w:gridCol w:w="1395"/>
              <w:gridCol w:w="1317"/>
              <w:gridCol w:w="1482"/>
              <w:gridCol w:w="2887"/>
            </w:tblGrid>
            <w:tr w14:paraId="7D5C355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5" w:hRule="atLeast"/>
                <w:jc w:val="center"/>
              </w:trPr>
              <w:tc>
                <w:tcPr>
                  <w:tcW w:w="608" w:type="pct"/>
                  <w:tcBorders>
                    <w:tl2br w:val="nil"/>
                    <w:tr2bl w:val="nil"/>
                  </w:tcBorders>
                  <w:shd w:val="clear" w:color="auto" w:fill="auto"/>
                  <w:noWrap w:val="0"/>
                  <w:vAlign w:val="center"/>
                </w:tcPr>
                <w:p w14:paraId="29D2D39B">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t>项目</w:t>
                  </w:r>
                </w:p>
              </w:tc>
              <w:tc>
                <w:tcPr>
                  <w:tcW w:w="865" w:type="pct"/>
                  <w:tcBorders>
                    <w:tl2br w:val="nil"/>
                    <w:tr2bl w:val="nil"/>
                  </w:tcBorders>
                  <w:shd w:val="clear" w:color="auto" w:fill="auto"/>
                  <w:noWrap w:val="0"/>
                  <w:vAlign w:val="center"/>
                </w:tcPr>
                <w:p w14:paraId="7C3D4907">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t>监测点位</w:t>
                  </w:r>
                </w:p>
              </w:tc>
              <w:tc>
                <w:tcPr>
                  <w:tcW w:w="817" w:type="pct"/>
                  <w:tcBorders>
                    <w:tl2br w:val="nil"/>
                    <w:tr2bl w:val="nil"/>
                  </w:tcBorders>
                  <w:shd w:val="clear" w:color="auto" w:fill="auto"/>
                  <w:noWrap w:val="0"/>
                  <w:vAlign w:val="center"/>
                </w:tcPr>
                <w:p w14:paraId="1C96696C">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t>监测频率</w:t>
                  </w:r>
                </w:p>
              </w:tc>
              <w:tc>
                <w:tcPr>
                  <w:tcW w:w="919" w:type="pct"/>
                  <w:tcBorders>
                    <w:tl2br w:val="nil"/>
                    <w:tr2bl w:val="nil"/>
                  </w:tcBorders>
                  <w:shd w:val="clear" w:color="auto" w:fill="auto"/>
                  <w:noWrap w:val="0"/>
                  <w:vAlign w:val="center"/>
                </w:tcPr>
                <w:p w14:paraId="377A6C96">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t>监测因子</w:t>
                  </w:r>
                </w:p>
              </w:tc>
              <w:tc>
                <w:tcPr>
                  <w:tcW w:w="1790" w:type="pct"/>
                  <w:tcBorders>
                    <w:tl2br w:val="nil"/>
                    <w:tr2bl w:val="nil"/>
                  </w:tcBorders>
                  <w:shd w:val="clear" w:color="auto" w:fill="auto"/>
                  <w:noWrap w:val="0"/>
                  <w:vAlign w:val="center"/>
                </w:tcPr>
                <w:p w14:paraId="02828DE8">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highlight w:val="none"/>
                      <w:lang w:val="zh-CN" w:eastAsia="zh-CN" w:bidi="zh-CN"/>
                      <w14:textFill>
                        <w14:solidFill>
                          <w14:schemeClr w14:val="tx1"/>
                        </w14:solidFill>
                      </w14:textFill>
                    </w:rPr>
                    <w:t>执行标准</w:t>
                  </w:r>
                </w:p>
              </w:tc>
            </w:tr>
            <w:tr w14:paraId="011152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608" w:type="pct"/>
                  <w:tcBorders>
                    <w:tl2br w:val="nil"/>
                    <w:tr2bl w:val="nil"/>
                  </w:tcBorders>
                  <w:shd w:val="clear" w:color="auto" w:fill="auto"/>
                  <w:noWrap w:val="0"/>
                  <w:vAlign w:val="center"/>
                </w:tcPr>
                <w:p w14:paraId="718E9A26">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t>噪声</w:t>
                  </w:r>
                </w:p>
              </w:tc>
              <w:tc>
                <w:tcPr>
                  <w:tcW w:w="865" w:type="pct"/>
                  <w:tcBorders>
                    <w:tl2br w:val="nil"/>
                    <w:tr2bl w:val="nil"/>
                  </w:tcBorders>
                  <w:shd w:val="clear" w:color="auto" w:fill="auto"/>
                  <w:noWrap w:val="0"/>
                  <w:vAlign w:val="center"/>
                </w:tcPr>
                <w:p w14:paraId="6E74F2D0">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1"/>
                      <w:position w:val="0"/>
                      <w:sz w:val="21"/>
                      <w:szCs w:val="21"/>
                      <w:highlight w:val="none"/>
                      <w:lang w:val="en-US" w:eastAsia="zh-CN" w:bidi="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厂界</w:t>
                  </w:r>
                </w:p>
              </w:tc>
              <w:tc>
                <w:tcPr>
                  <w:tcW w:w="817" w:type="pct"/>
                  <w:tcBorders>
                    <w:tl2br w:val="nil"/>
                    <w:tr2bl w:val="nil"/>
                  </w:tcBorders>
                  <w:shd w:val="clear" w:color="auto" w:fill="auto"/>
                  <w:noWrap w:val="0"/>
                  <w:vAlign w:val="center"/>
                </w:tcPr>
                <w:p w14:paraId="14092358">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t>1次/季</w:t>
                  </w:r>
                </w:p>
              </w:tc>
              <w:tc>
                <w:tcPr>
                  <w:tcW w:w="919" w:type="pct"/>
                  <w:tcBorders>
                    <w:tl2br w:val="nil"/>
                    <w:tr2bl w:val="nil"/>
                  </w:tcBorders>
                  <w:shd w:val="clear" w:color="auto" w:fill="auto"/>
                  <w:noWrap w:val="0"/>
                  <w:vAlign w:val="center"/>
                </w:tcPr>
                <w:p w14:paraId="40AD2221">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t>等效连续A声级</w:t>
                  </w:r>
                </w:p>
              </w:tc>
              <w:tc>
                <w:tcPr>
                  <w:tcW w:w="1790" w:type="pct"/>
                  <w:tcBorders>
                    <w:tl2br w:val="nil"/>
                    <w:tr2bl w:val="nil"/>
                  </w:tcBorders>
                  <w:shd w:val="clear" w:color="auto" w:fill="auto"/>
                  <w:noWrap w:val="0"/>
                  <w:vAlign w:val="center"/>
                </w:tcPr>
                <w:p w14:paraId="3F39AEEC">
                  <w:pPr>
                    <w:keepNext w:val="0"/>
                    <w:keepLines w:val="0"/>
                    <w:pageBreakBefore w:val="0"/>
                    <w:widowControl w:val="0"/>
                    <w:kinsoku/>
                    <w:wordWrap/>
                    <w:overflowPunct/>
                    <w:topLinePunct w:val="0"/>
                    <w:autoSpaceDE w:val="0"/>
                    <w:autoSpaceDN w:val="0"/>
                    <w:bidi w:val="0"/>
                    <w:adjustRightInd/>
                    <w:snapToGrid/>
                    <w:spacing w:before="157" w:beforeLines="50" w:afterLines="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lang w:val="zh-CN" w:eastAsia="zh-CN" w:bidi="zh-CN"/>
                      <w14:textFill>
                        <w14:solidFill>
                          <w14:schemeClr w14:val="tx1"/>
                        </w14:solidFill>
                      </w14:textFill>
                    </w:rPr>
                    <w:t>《工业企业厂界环境噪声排放标准》（GB12348-2008）2类标准</w:t>
                  </w:r>
                </w:p>
              </w:tc>
            </w:tr>
          </w:tbl>
          <w:p w14:paraId="1937DD83">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360" w:lineRule="auto"/>
              <w:ind w:firstLine="482" w:firstLineChars="200"/>
              <w:rPr>
                <w:rFonts w:hint="default" w:ascii="Times New Roman" w:hAnsi="Times New Roman" w:eastAsia="宋体" w:cs="Times New Roman"/>
                <w:b/>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snapToGrid w:val="0"/>
                <w:color w:val="000000" w:themeColor="text1"/>
                <w:sz w:val="24"/>
                <w:szCs w:val="24"/>
                <w:highlight w:val="none"/>
                <w:lang w:eastAsia="zh-CN"/>
                <w14:textFill>
                  <w14:solidFill>
                    <w14:schemeClr w14:val="tx1"/>
                  </w14:solidFill>
                </w14:textFill>
              </w:rPr>
              <w:t>、固体废物</w:t>
            </w:r>
          </w:p>
          <w:p w14:paraId="3478E759">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t>项目在营运期的生产固废主要为沉淀池污泥、除尘器除尘灰、混凝土废料、生活垃圾、餐厨垃圾（含废油脂）、废机油、废机油桶。</w:t>
            </w:r>
          </w:p>
          <w:p w14:paraId="65A55622">
            <w:pPr>
              <w:pStyle w:val="18"/>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（1）生活垃圾</w:t>
            </w:r>
          </w:p>
          <w:p w14:paraId="674A3A38">
            <w:pPr>
              <w:pStyle w:val="18"/>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全厂劳动定员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6人</w:t>
            </w:r>
            <w:r>
              <w:rPr>
                <w:rFonts w:hint="default" w:ascii="Times New Roman" w:hAnsi="Times New Roman" w:eastAsia="宋体" w:cs="Times New Roman"/>
                <w:color w:val="000000" w:themeColor="text1"/>
                <w:sz w:val="24"/>
                <w:szCs w:val="24"/>
                <w:highlight w:val="none"/>
                <w14:textFill>
                  <w14:solidFill>
                    <w14:schemeClr w14:val="tx1"/>
                  </w14:solidFill>
                </w14:textFill>
              </w:rPr>
              <w:t>，按每人每天产生生活垃圾0.5kg计算，一年的工作日按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highlight w:val="none"/>
                <w14:textFill>
                  <w14:solidFill>
                    <w14:schemeClr w14:val="tx1"/>
                  </w14:solidFill>
                </w14:textFill>
              </w:rPr>
              <w:t>天计算，则本项目每年生活垃圾的产生量为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highlight w:val="none"/>
                <w14:textFill>
                  <w14:solidFill>
                    <w14:schemeClr w14:val="tx1"/>
                  </w14:solidFill>
                </w14:textFill>
              </w:rPr>
              <w:t>t/a。生活垃圾由环卫部门统一清运处理。</w:t>
            </w:r>
          </w:p>
          <w:p w14:paraId="4766F9E1">
            <w:pPr>
              <w:keepLines w:val="0"/>
              <w:pageBreakBefore w:val="0"/>
              <w:kinsoku/>
              <w:wordWrap/>
              <w:overflowPunct/>
              <w:topLinePunct w:val="0"/>
              <w:bidi w:val="0"/>
              <w:snapToGrid/>
              <w:spacing w:beforeLines="0" w:afterLines="0" w:line="360" w:lineRule="auto"/>
              <w:ind w:firstLine="482" w:firstLineChars="200"/>
              <w:rPr>
                <w:rFonts w:hint="default" w:ascii="Times New Roman" w:hAnsi="Times New Roman" w:cs="Times New Roman"/>
                <w:b/>
                <w:bCs/>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pacing w:val="0"/>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pacing w:val="0"/>
                <w:kern w:val="2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pacing w:val="0"/>
                <w:kern w:val="21"/>
                <w:sz w:val="24"/>
                <w:szCs w:val="24"/>
                <w:highlight w:val="none"/>
                <w:lang w:eastAsia="zh-CN"/>
                <w14:textFill>
                  <w14:solidFill>
                    <w14:schemeClr w14:val="tx1"/>
                  </w14:solidFill>
                </w14:textFill>
              </w:rPr>
              <w:t>）一般固废</w:t>
            </w:r>
          </w:p>
          <w:p w14:paraId="53B52465">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t>①</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沉淀池污泥</w:t>
            </w:r>
          </w:p>
          <w:p w14:paraId="3DAC60B6">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项目生产废水经沉淀池处理，沉淀池会产生沉淀废渣，定期对沉淀池进行清掏，沉淀池沉渣主要为泥沙，根据物料平衡可知，沉淀池沉渣产生量约为3.962t，含水率约80%，则沉渣产生量为</w:t>
            </w:r>
            <w:r>
              <w:rPr>
                <w:rFonts w:hint="eastAsia" w:cs="Times New Roman"/>
                <w:color w:val="000000" w:themeColor="text1"/>
                <w:spacing w:val="0"/>
                <w:kern w:val="21"/>
                <w:sz w:val="24"/>
                <w:szCs w:val="24"/>
                <w:highlight w:val="none"/>
                <w:lang w:eastAsia="zh-CN"/>
                <w14:textFill>
                  <w14:solidFill>
                    <w14:schemeClr w14:val="tx1"/>
                  </w14:solidFill>
                </w14:textFill>
              </w:rPr>
              <w:t>80</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t，定期</w:t>
            </w:r>
            <w:r>
              <w:rPr>
                <w:rFonts w:hint="eastAsia" w:cs="Times New Roman"/>
                <w:color w:val="000000" w:themeColor="text1"/>
                <w:spacing w:val="0"/>
                <w:kern w:val="21"/>
                <w:sz w:val="24"/>
                <w:szCs w:val="24"/>
                <w:highlight w:val="none"/>
                <w:lang w:eastAsia="zh-CN"/>
                <w14:textFill>
                  <w14:solidFill>
                    <w14:schemeClr w14:val="tx1"/>
                  </w14:solidFill>
                </w14:textFill>
              </w:rPr>
              <w:t>外售建材厂综合利用</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w:t>
            </w:r>
          </w:p>
          <w:p w14:paraId="795F928D">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t>②</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除尘器除尘灰</w:t>
            </w:r>
          </w:p>
          <w:p w14:paraId="679B7A22">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项目除尘器除尘灰产生量约为</w:t>
            </w:r>
            <w:r>
              <w:rPr>
                <w:rFonts w:hint="eastAsia" w:cs="Times New Roman"/>
                <w:color w:val="000000" w:themeColor="text1"/>
                <w:spacing w:val="0"/>
                <w:kern w:val="21"/>
                <w:sz w:val="24"/>
                <w:szCs w:val="24"/>
                <w:highlight w:val="none"/>
                <w:lang w:eastAsia="zh-CN"/>
                <w14:textFill>
                  <w14:solidFill>
                    <w14:schemeClr w14:val="tx1"/>
                  </w14:solidFill>
                </w14:textFill>
              </w:rPr>
              <w:t>83.4</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t，除尘灰收集后，作为原料回到生产线，回用于生产。</w:t>
            </w:r>
          </w:p>
          <w:p w14:paraId="3846AF8E">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t>③混凝土废料</w:t>
            </w:r>
          </w:p>
          <w:p w14:paraId="794A335A">
            <w:pPr>
              <w:keepLines w:val="0"/>
              <w:pageBreakBefore w:val="0"/>
              <w:kinsoku/>
              <w:wordWrap/>
              <w:overflowPunct/>
              <w:topLinePunct w:val="0"/>
              <w:bidi w:val="0"/>
              <w:snapToGrid/>
              <w:spacing w:beforeLines="0" w:afterLines="0" w:line="360" w:lineRule="auto"/>
              <w:ind w:firstLine="480" w:firstLineChars="200"/>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项目混凝土废料主要为不合格的及剩余的少量混凝土，其产生量直接取决于生产管理等方面，通过改善生产经营信息流的传输效率，可使剩余混凝土发生量大大减少。根据</w:t>
            </w:r>
            <w:r>
              <w:rPr>
                <w:rFonts w:hint="default" w:ascii="Times New Roman" w:hAnsi="Times New Roman" w:cs="Times New Roman"/>
                <w:color w:val="000000" w:themeColor="text1"/>
                <w:spacing w:val="0"/>
                <w:kern w:val="21"/>
                <w:sz w:val="24"/>
                <w:szCs w:val="24"/>
                <w:highlight w:val="none"/>
                <w:lang w:val="en-US" w:eastAsia="zh-CN"/>
                <w14:textFill>
                  <w14:solidFill>
                    <w14:schemeClr w14:val="tx1"/>
                  </w14:solidFill>
                </w14:textFill>
              </w:rPr>
              <w:t>行业</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经验，该部分产生约为产量的0.05%，则本项目混凝土废料产生量为</w:t>
            </w:r>
            <w:r>
              <w:rPr>
                <w:rFonts w:hint="eastAsia" w:cs="Times New Roman"/>
                <w:color w:val="000000" w:themeColor="text1"/>
                <w:spacing w:val="0"/>
                <w:kern w:val="21"/>
                <w:sz w:val="24"/>
                <w:szCs w:val="24"/>
                <w:highlight w:val="none"/>
                <w:lang w:eastAsia="zh-CN"/>
                <w14:textFill>
                  <w14:solidFill>
                    <w14:schemeClr w14:val="tx1"/>
                  </w14:solidFill>
                </w14:textFill>
              </w:rPr>
              <w:t>150</w:t>
            </w:r>
            <w:r>
              <w:rPr>
                <w:rFonts w:hint="default" w:ascii="Times New Roman" w:hAnsi="Times New Roman" w:cs="Times New Roman"/>
                <w:color w:val="000000" w:themeColor="text1"/>
                <w:spacing w:val="0"/>
                <w:kern w:val="21"/>
                <w:sz w:val="24"/>
                <w:szCs w:val="24"/>
                <w:highlight w:val="none"/>
                <w:lang w:eastAsia="zh-CN"/>
                <w14:textFill>
                  <w14:solidFill>
                    <w14:schemeClr w14:val="tx1"/>
                  </w14:solidFill>
                </w14:textFill>
              </w:rPr>
              <w:t>t，收集后，外售建材厂综合利用。</w:t>
            </w:r>
          </w:p>
          <w:p w14:paraId="75346AA5">
            <w:pPr>
              <w:spacing w:beforeLines="0" w:afterLines="0" w:line="360" w:lineRule="auto"/>
              <w:ind w:firstLine="422" w:firstLineChars="200"/>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表4-1</w:t>
            </w:r>
            <w:r>
              <w:rPr>
                <w:rFonts w:hint="eastAsia" w:cs="Times New Roman"/>
                <w:b/>
                <w:color w:val="000000" w:themeColor="text1"/>
                <w:kern w:val="21"/>
                <w:szCs w:val="21"/>
                <w:highlight w:val="none"/>
                <w:lang w:val="en-US" w:eastAsia="zh-CN"/>
                <w14:textFill>
                  <w14:solidFill>
                    <w14:schemeClr w14:val="tx1"/>
                  </w14:solidFill>
                </w14:textFill>
              </w:rPr>
              <w:t xml:space="preserve">8 </w:t>
            </w:r>
            <w:r>
              <w:rPr>
                <w:rFonts w:hint="default" w:ascii="Times New Roman" w:hAnsi="Times New Roman" w:cs="Times New Roman"/>
                <w:b/>
                <w:color w:val="000000" w:themeColor="text1"/>
                <w:kern w:val="21"/>
                <w:szCs w:val="21"/>
                <w:highlight w:val="none"/>
                <w14:textFill>
                  <w14:solidFill>
                    <w14:schemeClr w14:val="tx1"/>
                  </w14:solidFill>
                </w14:textFill>
              </w:rPr>
              <w:t xml:space="preserve"> 一般工业固体废物自行贮存和自行利用/处置设施信息表</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56"/>
              <w:gridCol w:w="1136"/>
              <w:gridCol w:w="609"/>
              <w:gridCol w:w="429"/>
              <w:gridCol w:w="964"/>
              <w:gridCol w:w="169"/>
              <w:gridCol w:w="732"/>
              <w:gridCol w:w="1130"/>
              <w:gridCol w:w="2235"/>
            </w:tblGrid>
            <w:tr w14:paraId="551A54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90" w:type="pct"/>
                  <w:gridSpan w:val="3"/>
                  <w:shd w:val="clear" w:color="auto" w:fill="auto"/>
                  <w:noWrap w:val="0"/>
                  <w:vAlign w:val="center"/>
                </w:tcPr>
                <w:p w14:paraId="7DC13310">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名称</w:t>
                  </w:r>
                </w:p>
              </w:tc>
              <w:tc>
                <w:tcPr>
                  <w:tcW w:w="969" w:type="pct"/>
                  <w:gridSpan w:val="3"/>
                  <w:shd w:val="clear" w:color="auto" w:fill="auto"/>
                  <w:noWrap w:val="0"/>
                  <w:vAlign w:val="center"/>
                </w:tcPr>
                <w:p w14:paraId="2EF258AD">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一般固废间</w:t>
                  </w:r>
                </w:p>
              </w:tc>
              <w:tc>
                <w:tcPr>
                  <w:tcW w:w="1155" w:type="pct"/>
                  <w:gridSpan w:val="2"/>
                  <w:shd w:val="clear" w:color="auto" w:fill="auto"/>
                  <w:noWrap w:val="0"/>
                  <w:vAlign w:val="center"/>
                </w:tcPr>
                <w:p w14:paraId="69FD7AE1">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编号</w:t>
                  </w:r>
                </w:p>
              </w:tc>
              <w:tc>
                <w:tcPr>
                  <w:tcW w:w="1384" w:type="pct"/>
                  <w:shd w:val="clear" w:color="auto" w:fill="auto"/>
                  <w:noWrap w:val="0"/>
                  <w:vAlign w:val="center"/>
                </w:tcPr>
                <w:p w14:paraId="0BA47EEA">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GF-01</w:t>
                  </w:r>
                </w:p>
              </w:tc>
            </w:tr>
            <w:tr w14:paraId="699915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90" w:type="pct"/>
                  <w:gridSpan w:val="3"/>
                  <w:shd w:val="clear" w:color="auto" w:fill="auto"/>
                  <w:noWrap w:val="0"/>
                  <w:vAlign w:val="center"/>
                </w:tcPr>
                <w:p w14:paraId="1F247C8D">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类型</w:t>
                  </w:r>
                </w:p>
              </w:tc>
              <w:tc>
                <w:tcPr>
                  <w:tcW w:w="969" w:type="pct"/>
                  <w:gridSpan w:val="3"/>
                  <w:shd w:val="clear" w:color="auto" w:fill="auto"/>
                  <w:noWrap w:val="0"/>
                  <w:vAlign w:val="center"/>
                </w:tcPr>
                <w:p w14:paraId="0CE6A0DC">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自行贮存设施</w:t>
                  </w:r>
                </w:p>
              </w:tc>
              <w:tc>
                <w:tcPr>
                  <w:tcW w:w="1155" w:type="pct"/>
                  <w:gridSpan w:val="2"/>
                  <w:shd w:val="clear" w:color="auto" w:fill="auto"/>
                  <w:noWrap w:val="0"/>
                  <w:vAlign w:val="center"/>
                </w:tcPr>
                <w:p w14:paraId="1F3AA5C6">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位置</w:t>
                  </w:r>
                </w:p>
              </w:tc>
              <w:tc>
                <w:tcPr>
                  <w:tcW w:w="1384" w:type="pct"/>
                  <w:shd w:val="clear" w:color="auto" w:fill="auto"/>
                  <w:noWrap w:val="0"/>
                  <w:vAlign w:val="center"/>
                </w:tcPr>
                <w:p w14:paraId="0BD570CE">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E100.01712665，N31.61765046</w:t>
                  </w:r>
                </w:p>
              </w:tc>
            </w:tr>
            <w:tr w14:paraId="34680C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90" w:type="pct"/>
                  <w:gridSpan w:val="3"/>
                  <w:shd w:val="clear" w:color="auto" w:fill="auto"/>
                  <w:noWrap w:val="0"/>
                  <w:vAlign w:val="center"/>
                </w:tcPr>
                <w:p w14:paraId="3EB12E28">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是否符合相关标准要求</w:t>
                  </w:r>
                </w:p>
              </w:tc>
              <w:tc>
                <w:tcPr>
                  <w:tcW w:w="969" w:type="pct"/>
                  <w:gridSpan w:val="3"/>
                  <w:shd w:val="clear" w:color="auto" w:fill="auto"/>
                  <w:noWrap w:val="0"/>
                  <w:vAlign w:val="center"/>
                </w:tcPr>
                <w:p w14:paraId="0A719B43">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w:t>
                  </w:r>
                </w:p>
              </w:tc>
              <w:tc>
                <w:tcPr>
                  <w:tcW w:w="1155" w:type="pct"/>
                  <w:gridSpan w:val="2"/>
                  <w:shd w:val="clear" w:color="auto" w:fill="auto"/>
                  <w:noWrap w:val="0"/>
                  <w:vAlign w:val="center"/>
                </w:tcPr>
                <w:p w14:paraId="3456F81A">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自行利用/处置方式</w:t>
                  </w:r>
                </w:p>
              </w:tc>
              <w:tc>
                <w:tcPr>
                  <w:tcW w:w="1384" w:type="pct"/>
                  <w:shd w:val="clear" w:color="auto" w:fill="auto"/>
                  <w:noWrap w:val="0"/>
                  <w:vAlign w:val="center"/>
                </w:tcPr>
                <w:p w14:paraId="42132B4A">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r>
            <w:tr w14:paraId="1042C3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90" w:type="pct"/>
                  <w:gridSpan w:val="3"/>
                  <w:shd w:val="clear" w:color="auto" w:fill="auto"/>
                  <w:noWrap w:val="0"/>
                  <w:vAlign w:val="center"/>
                </w:tcPr>
                <w:p w14:paraId="4C33688C">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最大自行贮存/利用/处置能力</w:t>
                  </w:r>
                </w:p>
              </w:tc>
              <w:tc>
                <w:tcPr>
                  <w:tcW w:w="969" w:type="pct"/>
                  <w:gridSpan w:val="3"/>
                  <w:shd w:val="clear" w:color="auto" w:fill="auto"/>
                  <w:noWrap w:val="0"/>
                  <w:vAlign w:val="center"/>
                </w:tcPr>
                <w:p w14:paraId="1EB85DF7">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30</w:t>
                  </w:r>
                  <w:r>
                    <w:rPr>
                      <w:rFonts w:hint="default" w:ascii="Times New Roman" w:hAnsi="Times New Roman" w:cs="Times New Roman"/>
                      <w:color w:val="000000" w:themeColor="text1"/>
                      <w:szCs w:val="21"/>
                      <w:highlight w:val="none"/>
                      <w14:textFill>
                        <w14:solidFill>
                          <w14:schemeClr w14:val="tx1"/>
                        </w14:solidFill>
                      </w14:textFill>
                    </w:rPr>
                    <w:t>t</w:t>
                  </w:r>
                </w:p>
              </w:tc>
              <w:tc>
                <w:tcPr>
                  <w:tcW w:w="1155" w:type="pct"/>
                  <w:gridSpan w:val="2"/>
                  <w:shd w:val="clear" w:color="auto" w:fill="auto"/>
                  <w:noWrap w:val="0"/>
                  <w:vAlign w:val="center"/>
                </w:tcPr>
                <w:p w14:paraId="15486C51">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面积</w:t>
                  </w:r>
                </w:p>
              </w:tc>
              <w:tc>
                <w:tcPr>
                  <w:tcW w:w="1384" w:type="pct"/>
                  <w:shd w:val="clear" w:color="auto" w:fill="auto"/>
                  <w:noWrap w:val="0"/>
                  <w:vAlign w:val="center"/>
                </w:tcPr>
                <w:p w14:paraId="0B9C132F">
                  <w:pPr>
                    <w:autoSpaceDE w:val="0"/>
                    <w:autoSpaceDN w:val="0"/>
                    <w:spacing w:beforeLines="0" w:afterLines="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30</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14:paraId="2D673D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9"/>
                  <w:shd w:val="clear" w:color="auto" w:fill="auto"/>
                  <w:noWrap w:val="0"/>
                  <w:vAlign w:val="center"/>
                </w:tcPr>
                <w:p w14:paraId="47652BE3">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自行贮存一般工业固体废物基本信息</w:t>
                  </w:r>
                </w:p>
              </w:tc>
            </w:tr>
            <w:tr w14:paraId="6EDF16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07" w:type="pct"/>
                  <w:shd w:val="clear" w:color="auto" w:fill="auto"/>
                  <w:noWrap w:val="0"/>
                  <w:vAlign w:val="center"/>
                </w:tcPr>
                <w:p w14:paraId="3BE95D5E">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705" w:type="pct"/>
                  <w:shd w:val="clear" w:color="auto" w:fill="auto"/>
                  <w:noWrap w:val="0"/>
                  <w:vAlign w:val="center"/>
                </w:tcPr>
                <w:p w14:paraId="779858AD">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名称</w:t>
                  </w:r>
                </w:p>
              </w:tc>
              <w:tc>
                <w:tcPr>
                  <w:tcW w:w="644" w:type="pct"/>
                  <w:gridSpan w:val="2"/>
                  <w:shd w:val="clear" w:color="auto" w:fill="auto"/>
                  <w:noWrap w:val="0"/>
                  <w:vAlign w:val="center"/>
                </w:tcPr>
                <w:p w14:paraId="76ED8689">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物理性状</w:t>
                  </w:r>
                </w:p>
              </w:tc>
              <w:tc>
                <w:tcPr>
                  <w:tcW w:w="598" w:type="pct"/>
                  <w:shd w:val="clear" w:color="auto" w:fill="auto"/>
                  <w:noWrap w:val="0"/>
                  <w:vAlign w:val="center"/>
                </w:tcPr>
                <w:p w14:paraId="34C25516">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产生环节</w:t>
                  </w:r>
                </w:p>
              </w:tc>
              <w:tc>
                <w:tcPr>
                  <w:tcW w:w="559" w:type="pct"/>
                  <w:gridSpan w:val="2"/>
                  <w:shd w:val="clear" w:color="auto" w:fill="auto"/>
                  <w:noWrap w:val="0"/>
                  <w:vAlign w:val="center"/>
                </w:tcPr>
                <w:p w14:paraId="58AB9CEA">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产生量</w:t>
                  </w:r>
                </w:p>
              </w:tc>
              <w:tc>
                <w:tcPr>
                  <w:tcW w:w="700" w:type="pct"/>
                  <w:shd w:val="clear" w:color="auto" w:fill="auto"/>
                  <w:noWrap w:val="0"/>
                  <w:vAlign w:val="center"/>
                </w:tcPr>
                <w:p w14:paraId="39EEA7BD">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清运频次</w:t>
                  </w:r>
                </w:p>
              </w:tc>
              <w:tc>
                <w:tcPr>
                  <w:tcW w:w="1384" w:type="pct"/>
                  <w:shd w:val="clear" w:color="auto" w:fill="auto"/>
                  <w:noWrap w:val="0"/>
                  <w:vAlign w:val="center"/>
                </w:tcPr>
                <w:p w14:paraId="0836E3F3">
                  <w:pPr>
                    <w:autoSpaceDE w:val="0"/>
                    <w:autoSpaceDN w:val="0"/>
                    <w:spacing w:beforeLines="0" w:afterLines="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去向</w:t>
                  </w:r>
                </w:p>
              </w:tc>
            </w:tr>
            <w:tr w14:paraId="0A23A1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07" w:type="pct"/>
                  <w:shd w:val="clear" w:color="auto" w:fill="auto"/>
                  <w:noWrap w:val="0"/>
                  <w:vAlign w:val="center"/>
                </w:tcPr>
                <w:p w14:paraId="6ECEAFDB">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705" w:type="pct"/>
                  <w:shd w:val="clear" w:color="auto" w:fill="auto"/>
                  <w:noWrap w:val="0"/>
                  <w:vAlign w:val="center"/>
                </w:tcPr>
                <w:p w14:paraId="4D49EFCD">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沉淀池污泥</w:t>
                  </w:r>
                </w:p>
              </w:tc>
              <w:tc>
                <w:tcPr>
                  <w:tcW w:w="644" w:type="pct"/>
                  <w:gridSpan w:val="2"/>
                  <w:shd w:val="clear" w:color="auto" w:fill="auto"/>
                  <w:noWrap w:val="0"/>
                  <w:vAlign w:val="center"/>
                </w:tcPr>
                <w:p w14:paraId="3173289E">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val="zh-CN" w:bidi="zh-CN"/>
                      <w14:textFill>
                        <w14:solidFill>
                          <w14:schemeClr w14:val="tx1"/>
                        </w14:solidFill>
                      </w14:textFill>
                    </w:rPr>
                    <w:t>固态</w:t>
                  </w:r>
                </w:p>
              </w:tc>
              <w:tc>
                <w:tcPr>
                  <w:tcW w:w="598" w:type="pct"/>
                  <w:shd w:val="clear" w:color="auto" w:fill="auto"/>
                  <w:noWrap w:val="0"/>
                  <w:vAlign w:val="center"/>
                </w:tcPr>
                <w:p w14:paraId="500FD507">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废水处理</w:t>
                  </w:r>
                </w:p>
              </w:tc>
              <w:tc>
                <w:tcPr>
                  <w:tcW w:w="559" w:type="pct"/>
                  <w:gridSpan w:val="2"/>
                  <w:shd w:val="clear" w:color="auto" w:fill="auto"/>
                  <w:noWrap w:val="0"/>
                  <w:vAlign w:val="center"/>
                </w:tcPr>
                <w:p w14:paraId="5D74FBB8">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80</w:t>
                  </w:r>
                  <w:r>
                    <w:rPr>
                      <w:rFonts w:hint="default" w:ascii="Times New Roman" w:hAnsi="Times New Roman" w:cs="Times New Roman"/>
                      <w:color w:val="000000" w:themeColor="text1"/>
                      <w:szCs w:val="21"/>
                      <w:highlight w:val="none"/>
                      <w14:textFill>
                        <w14:solidFill>
                          <w14:schemeClr w14:val="tx1"/>
                        </w14:solidFill>
                      </w14:textFill>
                    </w:rPr>
                    <w:t>t/a</w:t>
                  </w:r>
                </w:p>
              </w:tc>
              <w:tc>
                <w:tcPr>
                  <w:tcW w:w="700" w:type="pct"/>
                  <w:vMerge w:val="restart"/>
                  <w:shd w:val="clear" w:color="auto" w:fill="auto"/>
                  <w:noWrap w:val="0"/>
                  <w:vAlign w:val="center"/>
                </w:tcPr>
                <w:p w14:paraId="5CB1BC40">
                  <w:pPr>
                    <w:autoSpaceDE w:val="0"/>
                    <w:autoSpaceDN w:val="0"/>
                    <w:spacing w:beforeLines="0" w:afterLine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日产日清</w:t>
                  </w:r>
                </w:p>
              </w:tc>
              <w:tc>
                <w:tcPr>
                  <w:tcW w:w="1384" w:type="pct"/>
                  <w:shd w:val="clear" w:color="auto" w:fill="auto"/>
                  <w:noWrap w:val="0"/>
                  <w:vAlign w:val="center"/>
                </w:tcPr>
                <w:p w14:paraId="2B002BF6">
                  <w:pPr>
                    <w:autoSpaceDE w:val="0"/>
                    <w:autoSpaceDN w:val="0"/>
                    <w:spacing w:beforeLines="0" w:afterLines="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定期</w:t>
                  </w:r>
                  <w:r>
                    <w:rPr>
                      <w:rFonts w:hint="eastAsia" w:cs="Times New Roman"/>
                      <w:color w:val="000000" w:themeColor="text1"/>
                      <w:szCs w:val="21"/>
                      <w:highlight w:val="none"/>
                      <w:lang w:eastAsia="zh-CN"/>
                      <w14:textFill>
                        <w14:solidFill>
                          <w14:schemeClr w14:val="tx1"/>
                        </w14:solidFill>
                      </w14:textFill>
                    </w:rPr>
                    <w:t>外售建材厂综合利用</w:t>
                  </w:r>
                </w:p>
              </w:tc>
            </w:tr>
            <w:tr w14:paraId="581075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07" w:type="pct"/>
                  <w:shd w:val="clear" w:color="auto" w:fill="auto"/>
                  <w:noWrap w:val="0"/>
                  <w:vAlign w:val="center"/>
                </w:tcPr>
                <w:p w14:paraId="3D93C4E7">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705" w:type="pct"/>
                  <w:shd w:val="clear" w:color="auto" w:fill="auto"/>
                  <w:noWrap w:val="0"/>
                  <w:vAlign w:val="center"/>
                </w:tcPr>
                <w:p w14:paraId="7553CF92">
                  <w:pPr>
                    <w:autoSpaceDE w:val="0"/>
                    <w:autoSpaceDN w:val="0"/>
                    <w:spacing w:beforeLines="0" w:afterLines="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除尘器除尘灰</w:t>
                  </w:r>
                </w:p>
              </w:tc>
              <w:tc>
                <w:tcPr>
                  <w:tcW w:w="644" w:type="pct"/>
                  <w:gridSpan w:val="2"/>
                  <w:shd w:val="clear" w:color="auto" w:fill="auto"/>
                  <w:noWrap w:val="0"/>
                  <w:vAlign w:val="center"/>
                </w:tcPr>
                <w:p w14:paraId="2D3F1B72">
                  <w:pPr>
                    <w:autoSpaceDE w:val="0"/>
                    <w:autoSpaceDN w:val="0"/>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kern w:val="21"/>
                      <w:szCs w:val="21"/>
                      <w:highlight w:val="none"/>
                      <w:lang w:bidi="zh-CN"/>
                      <w14:textFill>
                        <w14:solidFill>
                          <w14:schemeClr w14:val="tx1"/>
                        </w14:solidFill>
                      </w14:textFill>
                    </w:rPr>
                    <w:t>固态</w:t>
                  </w:r>
                </w:p>
              </w:tc>
              <w:tc>
                <w:tcPr>
                  <w:tcW w:w="598" w:type="pct"/>
                  <w:shd w:val="clear" w:color="auto" w:fill="auto"/>
                  <w:noWrap w:val="0"/>
                  <w:vAlign w:val="center"/>
                </w:tcPr>
                <w:p w14:paraId="403D23DF">
                  <w:pPr>
                    <w:autoSpaceDE w:val="0"/>
                    <w:autoSpaceDN w:val="0"/>
                    <w:spacing w:beforeLines="0" w:afterLines="0"/>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14:textFill>
                        <w14:solidFill>
                          <w14:schemeClr w14:val="tx1"/>
                        </w14:solidFill>
                      </w14:textFill>
                    </w:rPr>
                    <w:t>废气处理</w:t>
                  </w:r>
                </w:p>
              </w:tc>
              <w:tc>
                <w:tcPr>
                  <w:tcW w:w="559" w:type="pct"/>
                  <w:gridSpan w:val="2"/>
                  <w:shd w:val="clear" w:color="auto" w:fill="auto"/>
                  <w:noWrap w:val="0"/>
                  <w:vAlign w:val="center"/>
                </w:tcPr>
                <w:p w14:paraId="79E9DE1B">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83.4</w:t>
                  </w:r>
                  <w:r>
                    <w:rPr>
                      <w:rFonts w:hint="default" w:ascii="Times New Roman" w:hAnsi="Times New Roman" w:cs="Times New Roman"/>
                      <w:color w:val="000000" w:themeColor="text1"/>
                      <w:szCs w:val="21"/>
                      <w:highlight w:val="none"/>
                      <w14:textFill>
                        <w14:solidFill>
                          <w14:schemeClr w14:val="tx1"/>
                        </w14:solidFill>
                      </w14:textFill>
                    </w:rPr>
                    <w:t>t/a</w:t>
                  </w:r>
                </w:p>
              </w:tc>
              <w:tc>
                <w:tcPr>
                  <w:tcW w:w="700" w:type="pct"/>
                  <w:vMerge w:val="continue"/>
                  <w:shd w:val="clear" w:color="auto" w:fill="auto"/>
                  <w:noWrap w:val="0"/>
                  <w:vAlign w:val="center"/>
                </w:tcPr>
                <w:p w14:paraId="640D68E0">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84" w:type="pct"/>
                  <w:shd w:val="clear" w:color="auto" w:fill="auto"/>
                  <w:noWrap w:val="0"/>
                  <w:vAlign w:val="center"/>
                </w:tcPr>
                <w:p w14:paraId="33D720CE">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收集后，作为原料回到生产线，回用于生产</w:t>
                  </w:r>
                </w:p>
              </w:tc>
            </w:tr>
            <w:tr w14:paraId="5E29A7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jc w:val="center"/>
              </w:trPr>
              <w:tc>
                <w:tcPr>
                  <w:tcW w:w="407" w:type="pct"/>
                  <w:shd w:val="clear" w:color="auto" w:fill="auto"/>
                  <w:noWrap w:val="0"/>
                  <w:vAlign w:val="center"/>
                </w:tcPr>
                <w:p w14:paraId="78628B25">
                  <w:pPr>
                    <w:autoSpaceDE w:val="0"/>
                    <w:autoSpaceDN w:val="0"/>
                    <w:spacing w:beforeLines="0" w:afterLine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c>
                <w:tcPr>
                  <w:tcW w:w="705" w:type="pct"/>
                  <w:shd w:val="clear" w:color="auto" w:fill="auto"/>
                  <w:noWrap w:val="0"/>
                  <w:vAlign w:val="center"/>
                </w:tcPr>
                <w:p w14:paraId="22225998">
                  <w:pPr>
                    <w:autoSpaceDE w:val="0"/>
                    <w:autoSpaceDN w:val="0"/>
                    <w:spacing w:beforeLines="0" w:afterLines="0"/>
                    <w:jc w:val="center"/>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混凝土废料</w:t>
                  </w:r>
                </w:p>
              </w:tc>
              <w:tc>
                <w:tcPr>
                  <w:tcW w:w="644" w:type="pct"/>
                  <w:gridSpan w:val="2"/>
                  <w:shd w:val="clear" w:color="auto" w:fill="auto"/>
                  <w:noWrap w:val="0"/>
                  <w:vAlign w:val="center"/>
                </w:tcPr>
                <w:p w14:paraId="1797AA00">
                  <w:pPr>
                    <w:autoSpaceDE w:val="0"/>
                    <w:autoSpaceDN w:val="0"/>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kern w:val="21"/>
                      <w:szCs w:val="21"/>
                      <w:highlight w:val="none"/>
                      <w:lang w:bidi="zh-CN"/>
                      <w14:textFill>
                        <w14:solidFill>
                          <w14:schemeClr w14:val="tx1"/>
                        </w14:solidFill>
                      </w14:textFill>
                    </w:rPr>
                    <w:t>固态</w:t>
                  </w:r>
                </w:p>
              </w:tc>
              <w:tc>
                <w:tcPr>
                  <w:tcW w:w="598" w:type="pct"/>
                  <w:shd w:val="clear" w:color="auto" w:fill="auto"/>
                  <w:noWrap w:val="0"/>
                  <w:vAlign w:val="center"/>
                </w:tcPr>
                <w:p w14:paraId="18A711EE">
                  <w:pPr>
                    <w:autoSpaceDE w:val="0"/>
                    <w:autoSpaceDN w:val="0"/>
                    <w:spacing w:beforeLines="0" w:afterLine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生产加工</w:t>
                  </w:r>
                </w:p>
              </w:tc>
              <w:tc>
                <w:tcPr>
                  <w:tcW w:w="559" w:type="pct"/>
                  <w:gridSpan w:val="2"/>
                  <w:shd w:val="clear" w:color="auto" w:fill="auto"/>
                  <w:noWrap w:val="0"/>
                  <w:vAlign w:val="center"/>
                </w:tcPr>
                <w:p w14:paraId="4A694722">
                  <w:pPr>
                    <w:autoSpaceDE w:val="0"/>
                    <w:autoSpaceDN w:val="0"/>
                    <w:spacing w:beforeLines="0" w:afterLines="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150</w:t>
                  </w:r>
                  <w:r>
                    <w:rPr>
                      <w:rFonts w:hint="default" w:ascii="Times New Roman" w:hAnsi="Times New Roman" w:cs="Times New Roman"/>
                      <w:color w:val="000000" w:themeColor="text1"/>
                      <w:szCs w:val="21"/>
                      <w:highlight w:val="none"/>
                      <w:lang w:val="en-US" w:eastAsia="zh-CN"/>
                      <w14:textFill>
                        <w14:solidFill>
                          <w14:schemeClr w14:val="tx1"/>
                        </w14:solidFill>
                      </w14:textFill>
                    </w:rPr>
                    <w:t>t/a</w:t>
                  </w:r>
                </w:p>
              </w:tc>
              <w:tc>
                <w:tcPr>
                  <w:tcW w:w="700" w:type="pct"/>
                  <w:vMerge w:val="continue"/>
                  <w:shd w:val="clear" w:color="auto" w:fill="auto"/>
                  <w:noWrap w:val="0"/>
                  <w:vAlign w:val="center"/>
                </w:tcPr>
                <w:p w14:paraId="04519069">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84" w:type="pct"/>
                  <w:shd w:val="clear" w:color="auto" w:fill="auto"/>
                  <w:noWrap w:val="0"/>
                  <w:vAlign w:val="center"/>
                </w:tcPr>
                <w:p w14:paraId="79C9CDF0">
                  <w:pPr>
                    <w:autoSpaceDE w:val="0"/>
                    <w:autoSpaceDN w:val="0"/>
                    <w:spacing w:beforeLines="0" w:afterLines="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收集后，外售建材厂综合利用</w:t>
                  </w:r>
                </w:p>
              </w:tc>
            </w:tr>
          </w:tbl>
          <w:p w14:paraId="351AD6BA">
            <w:pPr>
              <w:keepLines w:val="0"/>
              <w:pageBreakBefore w:val="0"/>
              <w:kinsoku/>
              <w:wordWrap/>
              <w:overflowPunct/>
              <w:topLinePunct w:val="0"/>
              <w:bidi w:val="0"/>
              <w:snapToGrid/>
              <w:spacing w:beforeLines="0" w:afterLines="0" w:line="360" w:lineRule="auto"/>
              <w:ind w:firstLine="482" w:firstLineChars="200"/>
              <w:rPr>
                <w:rFonts w:hint="default" w:ascii="Times New Roman" w:hAnsi="Times New Roman" w:cs="Times New Roman"/>
                <w:b/>
                <w:bCs/>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pacing w:val="0"/>
                <w:kern w:val="2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pacing w:val="0"/>
                <w:kern w:val="2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pacing w:val="0"/>
                <w:kern w:val="21"/>
                <w:sz w:val="24"/>
                <w:szCs w:val="24"/>
                <w:highlight w:val="none"/>
                <w:lang w:val="en-US" w:eastAsia="zh-CN"/>
                <w14:textFill>
                  <w14:solidFill>
                    <w14:schemeClr w14:val="tx1"/>
                  </w14:solidFill>
                </w14:textFill>
              </w:rPr>
              <w:t>危险固废</w:t>
            </w:r>
          </w:p>
          <w:p w14:paraId="46B01C3F">
            <w:pPr>
              <w:spacing w:beforeLines="0" w:afterLines="0" w:line="360" w:lineRule="auto"/>
              <w:ind w:firstLine="480" w:firstLineChars="200"/>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项目车辆均委外维修保养，厂内主要对其余设备进行维护保养。</w:t>
            </w:r>
          </w:p>
          <w:p w14:paraId="66A3F1B6">
            <w:pPr>
              <w:spacing w:beforeLines="0" w:afterLines="0" w:line="360" w:lineRule="auto"/>
              <w:ind w:firstLine="480" w:firstLineChars="200"/>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1）废机油、废机油桶</w:t>
            </w:r>
          </w:p>
          <w:p w14:paraId="4272A873">
            <w:pPr>
              <w:spacing w:beforeLines="0" w:afterLines="0" w:line="360" w:lineRule="auto"/>
              <w:ind w:firstLine="480" w:firstLineChars="200"/>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约为0.1t，属于《国家危险废物名录（202</w:t>
            </w:r>
            <w:r>
              <w:rPr>
                <w:rFonts w:hint="eastAsia" w:cs="Times New Roman"/>
                <w:color w:val="000000" w:themeColor="text1"/>
                <w:spacing w:val="0"/>
                <w:kern w:val="2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版）》中“HW08废矿物油与含矿物油废物”中的“900-249-08其他生产、销售、使用过程中产生的废矿物油及沾染矿物油的废弃包装物”。</w:t>
            </w:r>
          </w:p>
          <w:p w14:paraId="4020D6C8">
            <w:pPr>
              <w:spacing w:beforeLines="0" w:afterLines="0" w:line="360" w:lineRule="auto"/>
              <w:ind w:firstLine="480" w:firstLineChars="200"/>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2）废含油棉纱及手套</w:t>
            </w:r>
          </w:p>
          <w:p w14:paraId="57E86007">
            <w:pPr>
              <w:spacing w:beforeLines="0" w:afterLines="0" w:line="360" w:lineRule="auto"/>
              <w:ind w:firstLine="480" w:firstLineChars="200"/>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废含油棉纱及手套：约为0.01t，属于《国家危险废物名录（202</w:t>
            </w:r>
            <w:r>
              <w:rPr>
                <w:rFonts w:hint="eastAsia" w:cs="Times New Roman"/>
                <w:color w:val="000000" w:themeColor="text1"/>
                <w:spacing w:val="0"/>
                <w:kern w:val="2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版）》中“HW49其他废物”中的“900-041-49含有或沾染毒性、感染性危险废物的废弃包装物、容器、过滤吸附介质”。</w:t>
            </w:r>
          </w:p>
          <w:p w14:paraId="3E169646">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b/>
                <w:bCs/>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b/>
                <w:bCs/>
                <w:color w:val="000000" w:themeColor="text1"/>
                <w:kern w:val="21"/>
                <w:sz w:val="24"/>
                <w:szCs w:val="24"/>
                <w:highlight w:val="none"/>
                <w:lang w:bidi="en-US"/>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bidi="en-US"/>
                <w14:textFill>
                  <w14:solidFill>
                    <w14:schemeClr w14:val="tx1"/>
                  </w14:solidFill>
                </w14:textFill>
              </w:rPr>
              <w:t>4</w:t>
            </w:r>
            <w:r>
              <w:rPr>
                <w:rFonts w:hint="default" w:ascii="Times New Roman" w:hAnsi="Times New Roman" w:cs="Times New Roman"/>
                <w:b/>
                <w:bCs/>
                <w:color w:val="000000" w:themeColor="text1"/>
                <w:kern w:val="21"/>
                <w:sz w:val="24"/>
                <w:szCs w:val="24"/>
                <w:highlight w:val="none"/>
                <w:lang w:bidi="en-US"/>
                <w14:textFill>
                  <w14:solidFill>
                    <w14:schemeClr w14:val="tx1"/>
                  </w14:solidFill>
                </w14:textFill>
              </w:rPr>
              <w:t>）环境管理要求</w:t>
            </w:r>
          </w:p>
          <w:p w14:paraId="354A9AD2">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①固废收集和贮存场所（设施）</w:t>
            </w:r>
          </w:p>
          <w:p w14:paraId="08A69F96">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bidi="en-US"/>
                <w14:textFill>
                  <w14:solidFill>
                    <w14:schemeClr w14:val="tx1"/>
                  </w14:solidFill>
                </w14:textFill>
              </w:rPr>
              <w:t>危废暂存间</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做好防风、防雨、防晒、防渗漏“四防”措施，防止二次污染。地面采用坚固、防渗、耐腐蚀的材料建造，库内废物定期由有资质单位的专用运输车辆运输。危险废物按照类别分置于防渗漏的专用包装物或者密闭的容器内，专用包装物、容器设有明显的警示标识和警示说明。</w:t>
            </w:r>
          </w:p>
          <w:p w14:paraId="2155FEE8">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贮存容器要求：</w:t>
            </w:r>
          </w:p>
          <w:p w14:paraId="26F6A6E8">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应当使用符合标准的容器盛装危险废物，装载危险废物的容器及材质要满足相应的强度要求，容器必须完好无损，材质和衬里要与危险废物相容（不相互反应）；液体危险废物可注入开孔直径不超过70毫米并有放气孔的桶中；装载液体、半固体危险废物的容器内须留足够空间，容器顶部与液体表面之间保留100毫米以上的空间，无法装入常用容器的危险废物可用防漏胶袋等盛装；禁止将不相容（相互反应）的危险废物在同一容器内混装；装危险废物的容器上必须粘贴符合</w:t>
            </w:r>
            <w:r>
              <w:rPr>
                <w:rFonts w:hint="eastAsia" w:cs="Times New Roman"/>
                <w:color w:val="000000" w:themeColor="text1"/>
                <w:kern w:val="21"/>
                <w:sz w:val="24"/>
                <w:szCs w:val="24"/>
                <w:highlight w:val="none"/>
                <w:lang w:eastAsia="zh-CN" w:bidi="en-US"/>
                <w14:textFill>
                  <w14:solidFill>
                    <w14:schemeClr w14:val="tx1"/>
                  </w14:solidFill>
                </w14:textFill>
              </w:rPr>
              <w:t>GB 18597-2023</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标准附录A所示的标签。</w:t>
            </w:r>
          </w:p>
          <w:p w14:paraId="7369243F">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危废贮存设施的运行及管理：</w:t>
            </w:r>
          </w:p>
          <w:p w14:paraId="1F4DD92E">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A．每个危废堆间应留有搬运通道，盛装在容器内的同类危险废物可以堆叠存放，不得将不相容的废物混合或合并存放。</w:t>
            </w:r>
          </w:p>
          <w:p w14:paraId="364384CA">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B．须</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做好</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危险废物情况的记录，记录上须注明危险废物的名称、来源、数量、特性和包装容器的类别、入库日期、存放库位、废物出库日期及接收单位名称。危险废物的记录和货单在危险废物回取后应继续保留三年。</w:t>
            </w:r>
          </w:p>
          <w:p w14:paraId="3E82D972">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C．必须定期对所贮存的危险废物包装容器及贮存设施进行检查，发现破损，应及时采取措施清理更换。</w:t>
            </w:r>
          </w:p>
          <w:p w14:paraId="615130F2">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D．必须及时清运危废堆间内的危险废物，贮存周期不得超过一年。</w:t>
            </w:r>
          </w:p>
          <w:p w14:paraId="4D700993">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危险废物贮存设施的安全防护与监测：</w:t>
            </w:r>
          </w:p>
          <w:p w14:paraId="655FCF74">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A．危险废物贮存设施都必须按《</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环境保护图形标志 固体废物贮存（处置）场</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》（GB15562.2－1995）的规定设置警示标志。</w:t>
            </w:r>
          </w:p>
          <w:p w14:paraId="57521C9C">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B．危险废物贮存设施应配备通讯设备、照明设施、安全防护服装及工具，并设有应急防护设施。</w:t>
            </w:r>
          </w:p>
          <w:p w14:paraId="53343C4A">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C．危险废物贮存设施内清理出来的泄漏物，一律按危险废物处理。</w:t>
            </w:r>
          </w:p>
          <w:p w14:paraId="6DC2975F">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D．按国家污染源管理要求对危险废物贮存设施进行监测。</w:t>
            </w:r>
          </w:p>
          <w:p w14:paraId="280548F7">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本项目危险废物贮存场所（设施）基本情况如下表所示：</w:t>
            </w:r>
          </w:p>
          <w:p w14:paraId="051945E6">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表4-</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 xml:space="preserve"> 危险废物自行贮存和自行利用/处置设施信息表</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86"/>
              <w:gridCol w:w="892"/>
              <w:gridCol w:w="610"/>
              <w:gridCol w:w="555"/>
              <w:gridCol w:w="555"/>
              <w:gridCol w:w="519"/>
              <w:gridCol w:w="37"/>
              <w:gridCol w:w="555"/>
              <w:gridCol w:w="555"/>
              <w:gridCol w:w="471"/>
              <w:gridCol w:w="555"/>
              <w:gridCol w:w="555"/>
              <w:gridCol w:w="1821"/>
            </w:tblGrid>
            <w:tr w14:paraId="74773D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29" w:type="pct"/>
                  <w:gridSpan w:val="4"/>
                  <w:shd w:val="clear" w:color="auto" w:fill="auto"/>
                  <w:noWrap/>
                  <w:vAlign w:val="center"/>
                </w:tcPr>
                <w:p w14:paraId="32DE6F6D">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名称</w:t>
                  </w:r>
                </w:p>
              </w:tc>
              <w:tc>
                <w:tcPr>
                  <w:tcW w:w="849" w:type="pct"/>
                  <w:gridSpan w:val="2"/>
                  <w:shd w:val="clear" w:color="auto" w:fill="auto"/>
                  <w:noWrap/>
                  <w:vAlign w:val="center"/>
                </w:tcPr>
                <w:p w14:paraId="143FF671">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危废间</w:t>
                  </w:r>
                </w:p>
              </w:tc>
              <w:tc>
                <w:tcPr>
                  <w:tcW w:w="1023" w:type="pct"/>
                  <w:gridSpan w:val="3"/>
                  <w:shd w:val="clear" w:color="auto" w:fill="auto"/>
                  <w:noWrap/>
                  <w:vAlign w:val="center"/>
                </w:tcPr>
                <w:p w14:paraId="0BA3F8CE">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编号</w:t>
                  </w:r>
                </w:p>
              </w:tc>
              <w:tc>
                <w:tcPr>
                  <w:tcW w:w="1498" w:type="pct"/>
                  <w:gridSpan w:val="4"/>
                  <w:shd w:val="clear" w:color="auto" w:fill="auto"/>
                  <w:noWrap/>
                  <w:vAlign w:val="center"/>
                </w:tcPr>
                <w:p w14:paraId="1173F520">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WF-01</w:t>
                  </w:r>
                </w:p>
              </w:tc>
            </w:tr>
            <w:tr w14:paraId="0F351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9" w:type="pct"/>
                  <w:gridSpan w:val="4"/>
                  <w:shd w:val="clear" w:color="auto" w:fill="auto"/>
                  <w:noWrap/>
                  <w:vAlign w:val="center"/>
                </w:tcPr>
                <w:p w14:paraId="677E0148">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类型</w:t>
                  </w:r>
                </w:p>
              </w:tc>
              <w:tc>
                <w:tcPr>
                  <w:tcW w:w="849" w:type="pct"/>
                  <w:gridSpan w:val="2"/>
                  <w:shd w:val="clear" w:color="auto" w:fill="auto"/>
                  <w:noWrap/>
                  <w:vAlign w:val="center"/>
                </w:tcPr>
                <w:p w14:paraId="2699054F">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自行贮存设施</w:t>
                  </w:r>
                </w:p>
              </w:tc>
              <w:tc>
                <w:tcPr>
                  <w:tcW w:w="1023" w:type="pct"/>
                  <w:gridSpan w:val="3"/>
                  <w:shd w:val="clear" w:color="auto" w:fill="auto"/>
                  <w:noWrap/>
                  <w:vAlign w:val="center"/>
                </w:tcPr>
                <w:p w14:paraId="1CED0273">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位置</w:t>
                  </w:r>
                </w:p>
              </w:tc>
              <w:tc>
                <w:tcPr>
                  <w:tcW w:w="1498" w:type="pct"/>
                  <w:gridSpan w:val="4"/>
                  <w:shd w:val="clear" w:color="auto" w:fill="auto"/>
                  <w:noWrap/>
                  <w:vAlign w:val="center"/>
                </w:tcPr>
                <w:p w14:paraId="57DE00B4">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E100.01712933，N31.61767901</w:t>
                  </w:r>
                </w:p>
              </w:tc>
            </w:tr>
            <w:tr w14:paraId="790127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9" w:type="pct"/>
                  <w:gridSpan w:val="4"/>
                  <w:shd w:val="clear" w:color="auto" w:fill="auto"/>
                  <w:noWrap/>
                  <w:vAlign w:val="center"/>
                </w:tcPr>
                <w:p w14:paraId="08E9D6F8">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是否符合相关标准要求</w:t>
                  </w:r>
                </w:p>
              </w:tc>
              <w:tc>
                <w:tcPr>
                  <w:tcW w:w="849" w:type="pct"/>
                  <w:gridSpan w:val="2"/>
                  <w:shd w:val="clear" w:color="auto" w:fill="auto"/>
                  <w:noWrap/>
                  <w:vAlign w:val="center"/>
                </w:tcPr>
                <w:p w14:paraId="0A217E0D">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是</w:t>
                  </w:r>
                </w:p>
              </w:tc>
              <w:tc>
                <w:tcPr>
                  <w:tcW w:w="1023" w:type="pct"/>
                  <w:gridSpan w:val="3"/>
                  <w:shd w:val="clear" w:color="auto" w:fill="auto"/>
                  <w:noWrap/>
                  <w:vAlign w:val="center"/>
                </w:tcPr>
                <w:p w14:paraId="1447EA19">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贮存方式</w:t>
                  </w:r>
                </w:p>
              </w:tc>
              <w:tc>
                <w:tcPr>
                  <w:tcW w:w="1498" w:type="pct"/>
                  <w:gridSpan w:val="4"/>
                  <w:shd w:val="clear" w:color="auto" w:fill="auto"/>
                  <w:noWrap/>
                  <w:vAlign w:val="center"/>
                </w:tcPr>
                <w:p w14:paraId="2978F58B">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密封桶装</w:t>
                  </w:r>
                </w:p>
              </w:tc>
            </w:tr>
            <w:tr w14:paraId="28A1D7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9" w:type="pct"/>
                  <w:gridSpan w:val="4"/>
                  <w:shd w:val="clear" w:color="auto" w:fill="auto"/>
                  <w:noWrap/>
                  <w:vAlign w:val="center"/>
                </w:tcPr>
                <w:p w14:paraId="5BAFEA44">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最大自行贮存/利用/处置能力</w:t>
                  </w:r>
                </w:p>
              </w:tc>
              <w:tc>
                <w:tcPr>
                  <w:tcW w:w="849" w:type="pct"/>
                  <w:gridSpan w:val="2"/>
                  <w:shd w:val="clear" w:color="auto" w:fill="auto"/>
                  <w:noWrap/>
                  <w:vAlign w:val="center"/>
                </w:tcPr>
                <w:p w14:paraId="2E7F0B71">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2t</w:t>
                  </w:r>
                </w:p>
              </w:tc>
              <w:tc>
                <w:tcPr>
                  <w:tcW w:w="1023" w:type="pct"/>
                  <w:gridSpan w:val="3"/>
                  <w:shd w:val="clear" w:color="auto" w:fill="auto"/>
                  <w:noWrap/>
                  <w:vAlign w:val="center"/>
                </w:tcPr>
                <w:p w14:paraId="40D3C62E">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面积</w:t>
                  </w:r>
                </w:p>
              </w:tc>
              <w:tc>
                <w:tcPr>
                  <w:tcW w:w="1498" w:type="pct"/>
                  <w:gridSpan w:val="4"/>
                  <w:shd w:val="clear" w:color="auto" w:fill="auto"/>
                  <w:noWrap/>
                  <w:vAlign w:val="center"/>
                </w:tcPr>
                <w:p w14:paraId="59F6D2C3">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kern w:val="21"/>
                      <w:szCs w:val="21"/>
                      <w:highlight w:val="none"/>
                      <w:lang w:eastAsia="zh-CN"/>
                      <w14:textFill>
                        <w14:solidFill>
                          <w14:schemeClr w14:val="tx1"/>
                        </w14:solidFill>
                      </w14:textFill>
                    </w:rPr>
                    <w:t>㎡</w:t>
                  </w:r>
                </w:p>
              </w:tc>
            </w:tr>
            <w:tr w14:paraId="7D065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shd w:val="clear" w:color="auto" w:fill="auto"/>
                  <w:noWrap/>
                  <w:vAlign w:val="center"/>
                </w:tcPr>
                <w:p w14:paraId="2F5765F7">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危险固体废物基本信息</w:t>
                  </w:r>
                </w:p>
              </w:tc>
            </w:tr>
            <w:tr w14:paraId="4BE34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shd w:val="clear" w:color="auto" w:fill="auto"/>
                  <w:noWrap/>
                  <w:vAlign w:val="center"/>
                </w:tcPr>
                <w:p w14:paraId="7A185D76">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序号</w:t>
                  </w:r>
                </w:p>
              </w:tc>
              <w:tc>
                <w:tcPr>
                  <w:tcW w:w="426" w:type="pct"/>
                  <w:shd w:val="clear" w:color="auto" w:fill="auto"/>
                  <w:noWrap/>
                  <w:vAlign w:val="center"/>
                </w:tcPr>
                <w:p w14:paraId="294C717F">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名称</w:t>
                  </w:r>
                </w:p>
              </w:tc>
              <w:tc>
                <w:tcPr>
                  <w:tcW w:w="503" w:type="pct"/>
                  <w:shd w:val="clear" w:color="auto" w:fill="auto"/>
                  <w:noWrap/>
                  <w:vAlign w:val="center"/>
                </w:tcPr>
                <w:p w14:paraId="58CAFE39">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代码</w:t>
                  </w:r>
                </w:p>
              </w:tc>
              <w:tc>
                <w:tcPr>
                  <w:tcW w:w="391" w:type="pct"/>
                  <w:shd w:val="clear" w:color="auto" w:fill="auto"/>
                  <w:noWrap/>
                  <w:vAlign w:val="center"/>
                </w:tcPr>
                <w:p w14:paraId="7ACE6652">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危险特征</w:t>
                  </w:r>
                </w:p>
              </w:tc>
              <w:tc>
                <w:tcPr>
                  <w:tcW w:w="393" w:type="pct"/>
                  <w:shd w:val="clear" w:color="auto" w:fill="auto"/>
                  <w:noWrap/>
                  <w:vAlign w:val="center"/>
                </w:tcPr>
                <w:p w14:paraId="6D564929">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物理性状</w:t>
                  </w:r>
                </w:p>
              </w:tc>
              <w:tc>
                <w:tcPr>
                  <w:tcW w:w="488" w:type="pct"/>
                  <w:gridSpan w:val="2"/>
                  <w:shd w:val="clear" w:color="auto" w:fill="auto"/>
                  <w:noWrap/>
                  <w:vAlign w:val="center"/>
                </w:tcPr>
                <w:p w14:paraId="5B3A456C">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主要成分</w:t>
                  </w:r>
                </w:p>
              </w:tc>
              <w:tc>
                <w:tcPr>
                  <w:tcW w:w="414" w:type="pct"/>
                  <w:shd w:val="clear" w:color="auto" w:fill="auto"/>
                  <w:noWrap/>
                  <w:vAlign w:val="center"/>
                </w:tcPr>
                <w:p w14:paraId="2D12E497">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有害成分</w:t>
                  </w:r>
                </w:p>
              </w:tc>
              <w:tc>
                <w:tcPr>
                  <w:tcW w:w="575" w:type="pct"/>
                  <w:shd w:val="clear" w:color="auto" w:fill="auto"/>
                  <w:noWrap/>
                  <w:vAlign w:val="center"/>
                </w:tcPr>
                <w:p w14:paraId="1B618FB1">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产生环节</w:t>
                  </w:r>
                </w:p>
              </w:tc>
              <w:tc>
                <w:tcPr>
                  <w:tcW w:w="353" w:type="pct"/>
                  <w:shd w:val="clear" w:color="auto" w:fill="auto"/>
                  <w:noWrap/>
                  <w:vAlign w:val="center"/>
                </w:tcPr>
                <w:p w14:paraId="213E17DE">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产生量</w:t>
                  </w:r>
                </w:p>
              </w:tc>
              <w:tc>
                <w:tcPr>
                  <w:tcW w:w="322" w:type="pct"/>
                  <w:shd w:val="clear" w:color="auto" w:fill="auto"/>
                  <w:noWrap/>
                  <w:vAlign w:val="center"/>
                </w:tcPr>
                <w:p w14:paraId="1A70F3BA">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产废周期</w:t>
                  </w:r>
                </w:p>
              </w:tc>
              <w:tc>
                <w:tcPr>
                  <w:tcW w:w="292" w:type="pct"/>
                  <w:shd w:val="clear" w:color="auto" w:fill="auto"/>
                  <w:noWrap/>
                  <w:vAlign w:val="center"/>
                </w:tcPr>
                <w:p w14:paraId="7A82CB8B">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清运频次</w:t>
                  </w:r>
                </w:p>
              </w:tc>
              <w:tc>
                <w:tcPr>
                  <w:tcW w:w="530" w:type="pct"/>
                  <w:shd w:val="clear" w:color="auto" w:fill="auto"/>
                  <w:noWrap/>
                  <w:vAlign w:val="center"/>
                </w:tcPr>
                <w:p w14:paraId="49B430DF">
                  <w:pPr>
                    <w:keepLines w:val="0"/>
                    <w:pageBreakBefore w:val="0"/>
                    <w:kinsoku/>
                    <w:autoSpaceDE w:val="0"/>
                    <w:autoSpaceDN w:val="0"/>
                    <w:bidi w:val="0"/>
                    <w:snapToGrid/>
                    <w:spacing w:beforeLines="0" w:afterLines="0"/>
                    <w:jc w:val="center"/>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去向</w:t>
                  </w:r>
                </w:p>
              </w:tc>
            </w:tr>
            <w:tr w14:paraId="201111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shd w:val="clear" w:color="auto" w:fill="auto"/>
                  <w:noWrap/>
                  <w:vAlign w:val="center"/>
                </w:tcPr>
                <w:p w14:paraId="4B213103">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w:t>
                  </w:r>
                </w:p>
              </w:tc>
              <w:tc>
                <w:tcPr>
                  <w:tcW w:w="426" w:type="pct"/>
                  <w:shd w:val="clear" w:color="auto" w:fill="auto"/>
                  <w:noWrap/>
                  <w:vAlign w:val="center"/>
                </w:tcPr>
                <w:p w14:paraId="2F3270CA">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废机油、废机油桶</w:t>
                  </w:r>
                </w:p>
              </w:tc>
              <w:tc>
                <w:tcPr>
                  <w:tcW w:w="503" w:type="pct"/>
                  <w:shd w:val="clear" w:color="auto" w:fill="auto"/>
                  <w:noWrap/>
                  <w:vAlign w:val="center"/>
                </w:tcPr>
                <w:p w14:paraId="7092965B">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900-249-08</w:t>
                  </w:r>
                </w:p>
              </w:tc>
              <w:tc>
                <w:tcPr>
                  <w:tcW w:w="391" w:type="pct"/>
                  <w:shd w:val="clear" w:color="auto" w:fill="auto"/>
                  <w:noWrap/>
                  <w:vAlign w:val="center"/>
                </w:tcPr>
                <w:p w14:paraId="02D133D5">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T，I</w:t>
                  </w:r>
                </w:p>
              </w:tc>
              <w:tc>
                <w:tcPr>
                  <w:tcW w:w="393" w:type="pct"/>
                  <w:shd w:val="clear" w:color="auto" w:fill="auto"/>
                  <w:noWrap/>
                  <w:vAlign w:val="center"/>
                </w:tcPr>
                <w:p w14:paraId="1914D4F3">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val="zh-CN" w:bidi="zh-CN"/>
                      <w14:textFill>
                        <w14:solidFill>
                          <w14:schemeClr w14:val="tx1"/>
                        </w14:solidFill>
                      </w14:textFill>
                    </w:rPr>
                  </w:pPr>
                  <w:r>
                    <w:rPr>
                      <w:rFonts w:hint="default" w:ascii="Times New Roman" w:hAnsi="Times New Roman" w:cs="Times New Roman"/>
                      <w:color w:val="000000" w:themeColor="text1"/>
                      <w:kern w:val="21"/>
                      <w:szCs w:val="21"/>
                      <w:highlight w:val="none"/>
                      <w:lang w:val="zh-CN" w:bidi="zh-CN"/>
                      <w14:textFill>
                        <w14:solidFill>
                          <w14:schemeClr w14:val="tx1"/>
                        </w14:solidFill>
                      </w14:textFill>
                    </w:rPr>
                    <w:t>固态</w:t>
                  </w:r>
                </w:p>
              </w:tc>
              <w:tc>
                <w:tcPr>
                  <w:tcW w:w="488" w:type="pct"/>
                  <w:gridSpan w:val="2"/>
                  <w:shd w:val="clear" w:color="auto" w:fill="auto"/>
                  <w:noWrap/>
                  <w:vAlign w:val="center"/>
                </w:tcPr>
                <w:p w14:paraId="45AE73A3">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废矿物油</w:t>
                  </w:r>
                </w:p>
              </w:tc>
              <w:tc>
                <w:tcPr>
                  <w:tcW w:w="414" w:type="pct"/>
                  <w:shd w:val="clear" w:color="auto" w:fill="auto"/>
                  <w:noWrap/>
                  <w:vAlign w:val="center"/>
                </w:tcPr>
                <w:p w14:paraId="0F08D62C">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kern w:val="21"/>
                      <w:szCs w:val="21"/>
                      <w:highlight w:val="none"/>
                      <w:lang w:bidi="zh-CN"/>
                      <w14:textFill>
                        <w14:solidFill>
                          <w14:schemeClr w14:val="tx1"/>
                        </w14:solidFill>
                      </w14:textFill>
                    </w:rPr>
                    <w:t>废矿物油</w:t>
                  </w:r>
                </w:p>
              </w:tc>
              <w:tc>
                <w:tcPr>
                  <w:tcW w:w="575" w:type="pct"/>
                  <w:shd w:val="clear" w:color="auto" w:fill="auto"/>
                  <w:noWrap/>
                  <w:vAlign w:val="center"/>
                </w:tcPr>
                <w:p w14:paraId="2872C89F">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维修保养</w:t>
                  </w:r>
                </w:p>
              </w:tc>
              <w:tc>
                <w:tcPr>
                  <w:tcW w:w="353" w:type="pct"/>
                  <w:shd w:val="clear" w:color="auto" w:fill="auto"/>
                  <w:noWrap/>
                  <w:vAlign w:val="center"/>
                </w:tcPr>
                <w:p w14:paraId="473F76E7">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0.1t/a</w:t>
                  </w:r>
                </w:p>
              </w:tc>
              <w:tc>
                <w:tcPr>
                  <w:tcW w:w="322" w:type="pct"/>
                  <w:vMerge w:val="restart"/>
                  <w:shd w:val="clear" w:color="auto" w:fill="auto"/>
                  <w:noWrap/>
                  <w:vAlign w:val="center"/>
                </w:tcPr>
                <w:p w14:paraId="16E83233">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1次/</w:t>
                  </w: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1年</w:t>
                  </w:r>
                </w:p>
              </w:tc>
              <w:tc>
                <w:tcPr>
                  <w:tcW w:w="292" w:type="pct"/>
                  <w:vMerge w:val="restart"/>
                  <w:shd w:val="clear" w:color="auto" w:fill="auto"/>
                  <w:noWrap/>
                  <w:vAlign w:val="center"/>
                </w:tcPr>
                <w:p w14:paraId="33F85330">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val="en-US" w:bidi="zh-CN"/>
                      <w14:textFill>
                        <w14:solidFill>
                          <w14:schemeClr w14:val="tx1"/>
                        </w14:solidFill>
                      </w14:textFill>
                    </w:rPr>
                  </w:pPr>
                  <w:r>
                    <w:rPr>
                      <w:rFonts w:hint="default" w:ascii="Times New Roman" w:hAnsi="Times New Roman" w:cs="Times New Roman"/>
                      <w:color w:val="000000" w:themeColor="text1"/>
                      <w:kern w:val="21"/>
                      <w:szCs w:val="21"/>
                      <w:highlight w:val="none"/>
                      <w:lang w:val="en-US" w:bidi="zh-CN"/>
                      <w14:textFill>
                        <w14:solidFill>
                          <w14:schemeClr w14:val="tx1"/>
                        </w14:solidFill>
                      </w14:textFill>
                    </w:rPr>
                    <w:t>1次/1年</w:t>
                  </w:r>
                </w:p>
              </w:tc>
              <w:tc>
                <w:tcPr>
                  <w:tcW w:w="530" w:type="pct"/>
                  <w:vMerge w:val="restart"/>
                  <w:shd w:val="clear" w:color="auto" w:fill="auto"/>
                  <w:noWrap/>
                  <w:vAlign w:val="center"/>
                </w:tcPr>
                <w:p w14:paraId="6B2BA8B8">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暂存于危废间，定期交由相应资质单位处置</w:t>
                  </w:r>
                </w:p>
              </w:tc>
            </w:tr>
            <w:tr w14:paraId="3C5CE2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shd w:val="clear" w:color="auto" w:fill="auto"/>
                  <w:noWrap/>
                  <w:vAlign w:val="center"/>
                </w:tcPr>
                <w:p w14:paraId="4B2AA212">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w:t>
                  </w:r>
                </w:p>
              </w:tc>
              <w:tc>
                <w:tcPr>
                  <w:tcW w:w="426" w:type="pct"/>
                  <w:shd w:val="clear" w:color="auto" w:fill="auto"/>
                  <w:noWrap/>
                  <w:vAlign w:val="center"/>
                </w:tcPr>
                <w:p w14:paraId="0BE922E8">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废含油棉纱及手套</w:t>
                  </w:r>
                </w:p>
              </w:tc>
              <w:tc>
                <w:tcPr>
                  <w:tcW w:w="503" w:type="pct"/>
                  <w:shd w:val="clear" w:color="auto" w:fill="auto"/>
                  <w:noWrap/>
                  <w:vAlign w:val="center"/>
                </w:tcPr>
                <w:p w14:paraId="4706A752">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900-041-49</w:t>
                  </w:r>
                </w:p>
              </w:tc>
              <w:tc>
                <w:tcPr>
                  <w:tcW w:w="391" w:type="pct"/>
                  <w:shd w:val="clear" w:color="auto" w:fill="auto"/>
                  <w:noWrap/>
                  <w:vAlign w:val="center"/>
                </w:tcPr>
                <w:p w14:paraId="5CA99AF5">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T/In</w:t>
                  </w:r>
                </w:p>
              </w:tc>
              <w:tc>
                <w:tcPr>
                  <w:tcW w:w="393" w:type="pct"/>
                  <w:shd w:val="clear" w:color="auto" w:fill="auto"/>
                  <w:noWrap/>
                  <w:vAlign w:val="center"/>
                </w:tcPr>
                <w:p w14:paraId="73F4B9FD">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val="en-US" w:bidi="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固态</w:t>
                  </w:r>
                </w:p>
              </w:tc>
              <w:tc>
                <w:tcPr>
                  <w:tcW w:w="488" w:type="pct"/>
                  <w:gridSpan w:val="2"/>
                  <w:shd w:val="clear" w:color="auto" w:fill="auto"/>
                  <w:noWrap/>
                  <w:vAlign w:val="center"/>
                </w:tcPr>
                <w:p w14:paraId="18943885">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废矿物油</w:t>
                  </w:r>
                </w:p>
              </w:tc>
              <w:tc>
                <w:tcPr>
                  <w:tcW w:w="414" w:type="pct"/>
                  <w:shd w:val="clear" w:color="auto" w:fill="auto"/>
                  <w:noWrap/>
                  <w:vAlign w:val="center"/>
                </w:tcPr>
                <w:p w14:paraId="71462135">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bidi="zh-CN"/>
                      <w14:textFill>
                        <w14:solidFill>
                          <w14:schemeClr w14:val="tx1"/>
                        </w14:solidFill>
                      </w14:textFill>
                    </w:rPr>
                  </w:pPr>
                  <w:r>
                    <w:rPr>
                      <w:rFonts w:hint="default" w:ascii="Times New Roman" w:hAnsi="Times New Roman" w:cs="Times New Roman"/>
                      <w:color w:val="000000" w:themeColor="text1"/>
                      <w:kern w:val="21"/>
                      <w:szCs w:val="21"/>
                      <w:highlight w:val="none"/>
                      <w:lang w:bidi="zh-CN"/>
                      <w14:textFill>
                        <w14:solidFill>
                          <w14:schemeClr w14:val="tx1"/>
                        </w14:solidFill>
                      </w14:textFill>
                    </w:rPr>
                    <w:t>废矿物油</w:t>
                  </w:r>
                </w:p>
              </w:tc>
              <w:tc>
                <w:tcPr>
                  <w:tcW w:w="575" w:type="pct"/>
                  <w:shd w:val="clear" w:color="auto" w:fill="auto"/>
                  <w:noWrap/>
                  <w:vAlign w:val="center"/>
                </w:tcPr>
                <w:p w14:paraId="6C4EE25C">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维修保养</w:t>
                  </w:r>
                </w:p>
              </w:tc>
              <w:tc>
                <w:tcPr>
                  <w:tcW w:w="353" w:type="pct"/>
                  <w:shd w:val="clear" w:color="auto" w:fill="auto"/>
                  <w:noWrap/>
                  <w:vAlign w:val="center"/>
                </w:tcPr>
                <w:p w14:paraId="50168C83">
                  <w:pPr>
                    <w:keepLines w:val="0"/>
                    <w:pageBreakBefore w:val="0"/>
                    <w:kinsoku/>
                    <w:autoSpaceDE w:val="0"/>
                    <w:autoSpaceDN w:val="0"/>
                    <w:bidi w:val="0"/>
                    <w:snapToGrid/>
                    <w:spacing w:beforeLines="0" w:afterLines="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0.01t/a</w:t>
                  </w:r>
                </w:p>
              </w:tc>
              <w:tc>
                <w:tcPr>
                  <w:tcW w:w="322" w:type="pct"/>
                  <w:vMerge w:val="continue"/>
                  <w:shd w:val="clear" w:color="auto" w:fill="auto"/>
                  <w:noWrap/>
                  <w:vAlign w:val="center"/>
                </w:tcPr>
                <w:p w14:paraId="5309A1C0">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p>
              </w:tc>
              <w:tc>
                <w:tcPr>
                  <w:tcW w:w="292" w:type="pct"/>
                  <w:vMerge w:val="continue"/>
                  <w:shd w:val="clear" w:color="auto" w:fill="auto"/>
                  <w:noWrap/>
                  <w:vAlign w:val="center"/>
                </w:tcPr>
                <w:p w14:paraId="48FCEEE0">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lang w:val="en-US" w:bidi="zh-CN"/>
                      <w14:textFill>
                        <w14:solidFill>
                          <w14:schemeClr w14:val="tx1"/>
                        </w14:solidFill>
                      </w14:textFill>
                    </w:rPr>
                  </w:pPr>
                </w:p>
              </w:tc>
              <w:tc>
                <w:tcPr>
                  <w:tcW w:w="530" w:type="pct"/>
                  <w:vMerge w:val="continue"/>
                  <w:shd w:val="clear" w:color="auto" w:fill="auto"/>
                  <w:noWrap/>
                  <w:vAlign w:val="center"/>
                </w:tcPr>
                <w:p w14:paraId="4A7C13BE">
                  <w:pPr>
                    <w:keepLines w:val="0"/>
                    <w:pageBreakBefore w:val="0"/>
                    <w:kinsoku/>
                    <w:autoSpaceDE w:val="0"/>
                    <w:autoSpaceDN w:val="0"/>
                    <w:bidi w:val="0"/>
                    <w:snapToGrid/>
                    <w:spacing w:beforeLines="0" w:afterLines="0"/>
                    <w:jc w:val="center"/>
                    <w:rPr>
                      <w:rFonts w:hint="default" w:ascii="Times New Roman" w:hAnsi="Times New Roman" w:cs="Times New Roman"/>
                      <w:color w:val="000000" w:themeColor="text1"/>
                      <w:kern w:val="21"/>
                      <w:szCs w:val="21"/>
                      <w:highlight w:val="none"/>
                      <w14:textFill>
                        <w14:solidFill>
                          <w14:schemeClr w14:val="tx1"/>
                        </w14:solidFill>
                      </w14:textFill>
                    </w:rPr>
                  </w:pPr>
                </w:p>
              </w:tc>
            </w:tr>
          </w:tbl>
          <w:p w14:paraId="0537C630">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②运输过程</w:t>
            </w:r>
          </w:p>
          <w:p w14:paraId="0F748CEB">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A．厂区内产生工艺环节运输到贮存场所过程</w:t>
            </w:r>
          </w:p>
          <w:p w14:paraId="6E8FF2DD">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厂区内运输必须将先将危废密闭</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置于</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专用包装物、容器内，防止散落、泄漏；厂区地面均为水泥硬化，一旦因管理疏漏或包装物破损而发生散落、泄漏，要进行及时清理，以免产生二次污染。</w:t>
            </w:r>
          </w:p>
          <w:p w14:paraId="4615665E">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B．危废外运过程</w:t>
            </w:r>
          </w:p>
          <w:p w14:paraId="3749ECFA">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根据中华人民共和国国务院令第344号《危险化学品安全管理条例》和《</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危险废物收集 贮存 运输技术规范</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HJ 2025-2012</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）的有关规定，在危险废物外运至处置单位时必须严格遵守以下要求：</w:t>
            </w:r>
          </w:p>
          <w:p w14:paraId="0EB739F0">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I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w:t>
            </w:r>
            <w:r>
              <w:rPr>
                <w:rFonts w:hint="default" w:ascii="Times New Roman" w:hAnsi="Times New Roman" w:cs="Times New Roman"/>
                <w:color w:val="000000" w:themeColor="text1"/>
                <w:kern w:val="21"/>
                <w:sz w:val="24"/>
                <w:szCs w:val="24"/>
                <w:highlight w:val="none"/>
                <w:lang w:eastAsia="zh-CN" w:bidi="en-US"/>
                <w14:textFill>
                  <w14:solidFill>
                    <w14:schemeClr w14:val="tx1"/>
                  </w14:solidFill>
                </w14:textFill>
              </w:rPr>
              <w:t>生态环境局</w:t>
            </w: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w:t>
            </w:r>
          </w:p>
          <w:p w14:paraId="012418DC">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II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6C2A21E3">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III处置单位在运输危险废物时必须配备押运人员，并随时处于押运人员的监管之下，不得超装、超载，严格按照所在城市规定的行车时间和行车路线行驶，不得进入危险化学品运输车辆禁止通行的区域。</w:t>
            </w:r>
          </w:p>
          <w:p w14:paraId="4ABAA32A">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IV危险废物在运输途中若发生被盗、丢失、流散、泄漏等情况时，公司及押运人员必须立即向当地公安部门报告，并采取一切可能的警示措施。</w:t>
            </w:r>
          </w:p>
          <w:p w14:paraId="14B8EA1A">
            <w:pPr>
              <w:pStyle w:val="94"/>
              <w:keepLines w:val="0"/>
              <w:pageBreakBefore w:val="0"/>
              <w:widowControl/>
              <w:kinsoku/>
              <w:bidi w:val="0"/>
              <w:snapToGrid/>
              <w:spacing w:beforeLines="0" w:afterLines="0" w:line="360" w:lineRule="auto"/>
              <w:ind w:firstLine="480" w:firstLineChars="0"/>
              <w:rPr>
                <w:rFonts w:hint="default" w:ascii="Times New Roman" w:hAnsi="Times New Roman" w:cs="Times New Roman"/>
                <w:color w:val="000000" w:themeColor="text1"/>
                <w:kern w:val="21"/>
                <w:sz w:val="24"/>
                <w:szCs w:val="24"/>
                <w:highlight w:val="none"/>
                <w:lang w:bidi="en-US"/>
                <w14:textFill>
                  <w14:solidFill>
                    <w14:schemeClr w14:val="tx1"/>
                  </w14:solidFill>
                </w14:textFill>
              </w:rPr>
            </w:pPr>
            <w:r>
              <w:rPr>
                <w:rFonts w:hint="default" w:ascii="Times New Roman" w:hAnsi="Times New Roman" w:cs="Times New Roman"/>
                <w:color w:val="000000" w:themeColor="text1"/>
                <w:kern w:val="21"/>
                <w:sz w:val="24"/>
                <w:szCs w:val="24"/>
                <w:highlight w:val="none"/>
                <w:lang w:bidi="en-US"/>
                <w14:textFill>
                  <w14:solidFill>
                    <w14:schemeClr w14:val="tx1"/>
                  </w14:solidFill>
                </w14:textFill>
              </w:rPr>
              <w:t>V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1EE9E54A">
            <w:pPr>
              <w:pStyle w:val="18"/>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综上所述，以上固废均得到有效处理与处置，对周围环境影响较小。</w:t>
            </w:r>
          </w:p>
          <w:p w14:paraId="04F2915C">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5、地下水、土壤</w:t>
            </w:r>
          </w:p>
          <w:p w14:paraId="55CE2D5E">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auto"/>
              <w:rPr>
                <w:rFonts w:hint="default" w:ascii="Times New Roman" w:hAnsi="Times New Roman" w:eastAsia="宋体" w:cs="Times New Roman"/>
                <w:b/>
                <w:bCs/>
                <w:snapToGrid w:val="0"/>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sz w:val="24"/>
                <w:szCs w:val="24"/>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spacing w:val="0"/>
                <w:kern w:val="21"/>
                <w:sz w:val="24"/>
                <w:szCs w:val="24"/>
                <w:highlight w:val="none"/>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pacing w:val="0"/>
                <w:kern w:val="21"/>
                <w:sz w:val="24"/>
                <w:szCs w:val="24"/>
                <w:highlight w:val="none"/>
                <w:lang w:eastAsia="zh-CN"/>
                <w14:textFill>
                  <w14:solidFill>
                    <w14:schemeClr w14:val="tx1"/>
                  </w14:solidFill>
                </w14:textFill>
              </w:rPr>
              <w:t>）污染源及污染途径</w:t>
            </w:r>
          </w:p>
          <w:p w14:paraId="573D125D">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0" w:firstLineChars="200"/>
              <w:jc w:val="both"/>
              <w:textAlignment w:val="auto"/>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t>本项目</w:t>
            </w:r>
            <w:r>
              <w:rPr>
                <w:rFonts w:hint="default" w:ascii="Times New Roman" w:hAnsi="Times New Roman" w:eastAsia="宋体" w:cs="Times New Roman"/>
                <w:snapToGrid w:val="0"/>
                <w:color w:val="000000" w:themeColor="text1"/>
                <w:spacing w:val="0"/>
                <w:kern w:val="21"/>
                <w:sz w:val="24"/>
                <w:szCs w:val="24"/>
                <w:highlight w:val="none"/>
                <w:lang w:val="en-US" w:eastAsia="zh-CN"/>
                <w14:textFill>
                  <w14:solidFill>
                    <w14:schemeClr w14:val="tx1"/>
                  </w14:solidFill>
                </w14:textFill>
              </w:rPr>
              <w:t>生产</w:t>
            </w:r>
            <w:r>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t>废水为</w:t>
            </w:r>
            <w:r>
              <w:rPr>
                <w:rFonts w:hint="default" w:ascii="Times New Roman" w:hAnsi="Times New Roman" w:eastAsia="宋体" w:cs="Times New Roman"/>
                <w:snapToGrid w:val="0"/>
                <w:color w:val="000000" w:themeColor="text1"/>
                <w:spacing w:val="0"/>
                <w:kern w:val="21"/>
                <w:sz w:val="24"/>
                <w:szCs w:val="24"/>
                <w:highlight w:val="none"/>
                <w:lang w:val="en-US" w:eastAsia="zh-CN"/>
                <w14:textFill>
                  <w14:solidFill>
                    <w14:schemeClr w14:val="tx1"/>
                  </w14:solidFill>
                </w14:textFill>
              </w:rPr>
              <w:t>喷雾废水、运输车辆冲洗废水、洒水抑尘废水等，</w:t>
            </w:r>
            <w:r>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t>污染物主要为SS，不含有毒有害物质。厂区沉淀池采取防渗措施，若发现有破损，及时维护修补，确保防渗的有效性，不会对区域内地下水及土壤产生影响。</w:t>
            </w:r>
          </w:p>
          <w:p w14:paraId="1BA1691F">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0" w:firstLineChars="200"/>
              <w:jc w:val="both"/>
              <w:textAlignment w:val="auto"/>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t>项目废</w:t>
            </w:r>
            <w:r>
              <w:rPr>
                <w:rFonts w:hint="default" w:ascii="Times New Roman" w:hAnsi="Times New Roman" w:eastAsia="宋体" w:cs="Times New Roman"/>
                <w:snapToGrid w:val="0"/>
                <w:color w:val="000000" w:themeColor="text1"/>
                <w:spacing w:val="0"/>
                <w:kern w:val="21"/>
                <w:sz w:val="24"/>
                <w:szCs w:val="24"/>
                <w:highlight w:val="none"/>
                <w:lang w:val="en-US" w:eastAsia="zh-CN"/>
                <w14:textFill>
                  <w14:solidFill>
                    <w14:schemeClr w14:val="tx1"/>
                  </w14:solidFill>
                </w14:textFill>
              </w:rPr>
              <w:t>机</w:t>
            </w:r>
            <w:r>
              <w:rPr>
                <w:rFonts w:hint="default" w:ascii="Times New Roman" w:hAnsi="Times New Roman" w:eastAsia="宋体" w:cs="Times New Roman"/>
                <w:snapToGrid w:val="0"/>
                <w:color w:val="000000" w:themeColor="text1"/>
                <w:spacing w:val="0"/>
                <w:kern w:val="21"/>
                <w:sz w:val="24"/>
                <w:szCs w:val="24"/>
                <w:highlight w:val="none"/>
                <w:lang w:eastAsia="zh-CN"/>
                <w14:textFill>
                  <w14:solidFill>
                    <w14:schemeClr w14:val="tx1"/>
                  </w14:solidFill>
                </w14:textFill>
              </w:rPr>
              <w:t>油密闭桶装储存于危废间内，危废间密闭，地面做防渗处理，设置导流槽与液体收集槽，定期检查并及时维护修补，不存在土壤、地下水环境污染途径，不会对区域内地下水及土壤产生影响。</w:t>
            </w:r>
          </w:p>
          <w:p w14:paraId="5EF061BF">
            <w:pPr>
              <w:keepNext w:val="0"/>
              <w:keepLines w:val="0"/>
              <w:pageBreakBefore w:val="0"/>
              <w:kinsoku/>
              <w:wordWrap/>
              <w:overflowPunct/>
              <w:topLinePunct w:val="0"/>
              <w:autoSpaceDE/>
              <w:autoSpaceDN/>
              <w:bidi w:val="0"/>
              <w:adjustRightInd/>
              <w:snapToGrid/>
              <w:spacing w:beforeLines="0" w:beforeAutospacing="0" w:afterLines="0" w:afterAutospacing="0" w:line="360" w:lineRule="auto"/>
              <w:ind w:firstLine="480" w:firstLineChars="200"/>
              <w:jc w:val="both"/>
              <w:textAlignment w:val="auto"/>
              <w:rPr>
                <w:rFonts w:hint="default" w:ascii="Times New Roman" w:hAnsi="Times New Roman" w:eastAsia="宋体" w:cs="Times New Roman"/>
                <w:snapToGrid w:val="0"/>
                <w:color w:val="000000" w:themeColor="text1"/>
                <w:spacing w:val="0"/>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sz w:val="24"/>
                <w:szCs w:val="24"/>
                <w:highlight w:val="none"/>
                <w:lang w:val="en-US" w:eastAsia="zh-CN"/>
                <w14:textFill>
                  <w14:solidFill>
                    <w14:schemeClr w14:val="tx1"/>
                  </w14:solidFill>
                </w14:textFill>
              </w:rPr>
              <w:t xml:space="preserve">以上区域事故状态下对地下水和土壤环境造成的影响 </w:t>
            </w:r>
          </w:p>
          <w:p w14:paraId="34084CCB">
            <w:pPr>
              <w:keepLines w:val="0"/>
              <w:pageBreakBefore w:val="0"/>
              <w:kinsoku/>
              <w:bidi w:val="0"/>
              <w:snapToGrid/>
              <w:spacing w:beforeLines="0" w:afterLines="0" w:line="360" w:lineRule="auto"/>
              <w:ind w:firstLine="482" w:firstLineChars="200"/>
              <w:rPr>
                <w:rFonts w:hint="default" w:ascii="Times New Roman" w:hAnsi="Times New Roman" w:cs="Times New Roman"/>
                <w:b/>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bCs w:val="0"/>
                <w:snapToGrid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snapToGrid w:val="0"/>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val="0"/>
                <w:snapToGrid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kern w:val="0"/>
                <w:sz w:val="24"/>
                <w:szCs w:val="24"/>
                <w:highlight w:val="none"/>
                <w14:textFill>
                  <w14:solidFill>
                    <w14:schemeClr w14:val="tx1"/>
                  </w14:solidFill>
                </w14:textFill>
              </w:rPr>
              <w:t>预防措施</w:t>
            </w:r>
          </w:p>
          <w:p w14:paraId="6C3A73D0">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1）源头控制措施</w:t>
            </w:r>
          </w:p>
          <w:p w14:paraId="725DC14F">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项目应根据国家现行相关规范加强环境管理，采取防止和降低污染物跑、冒、滴、漏的措施。正常运营过程中应加强机修过程中污染物跑、冒、滴、漏，同时应加强对防渗工程的检查，若发现防渗密封材料老化或损坏，应及时维修更换。</w:t>
            </w:r>
          </w:p>
          <w:p w14:paraId="324B26B9">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2）分区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防渗</w:t>
            </w:r>
            <w:r>
              <w:rPr>
                <w:rFonts w:hint="default" w:ascii="Times New Roman" w:hAnsi="Times New Roman" w:cs="Times New Roman"/>
                <w:color w:val="000000" w:themeColor="text1"/>
                <w:kern w:val="0"/>
                <w:sz w:val="24"/>
                <w:szCs w:val="24"/>
                <w:highlight w:val="none"/>
                <w14:textFill>
                  <w14:solidFill>
                    <w14:schemeClr w14:val="tx1"/>
                  </w14:solidFill>
                </w14:textFill>
              </w:rPr>
              <w:t>措施</w:t>
            </w:r>
          </w:p>
          <w:p w14:paraId="5A9B5161">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本项目采取分区防治措施。具体划分情况如下：分区防治措施将按厂区各功能单元所处的位置划分为重点防渗区和简单防渗区</w:t>
            </w:r>
          </w:p>
          <w:p w14:paraId="714CB8EA">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重点防渗区包括：危废暂存间</w:t>
            </w:r>
            <w:r>
              <w:rPr>
                <w:rFonts w:hint="eastAsia" w:cs="Times New Roman"/>
                <w:color w:val="000000" w:themeColor="text1"/>
                <w:kern w:val="0"/>
                <w:sz w:val="24"/>
                <w:szCs w:val="24"/>
                <w:highlight w:val="none"/>
                <w:lang w:val="en-US" w:eastAsia="zh-CN"/>
                <w14:textFill>
                  <w14:solidFill>
                    <w14:schemeClr w14:val="tx1"/>
                  </w14:solidFill>
                </w14:textFill>
              </w:rPr>
              <w:t>、机油库房</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w:t>
            </w:r>
          </w:p>
          <w:p w14:paraId="708AAFCA">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一般防渗区包括：碎石堆场、砂堆场、洗车区、三级沉淀池、初期雨水池、一般固废间。</w:t>
            </w:r>
          </w:p>
          <w:p w14:paraId="0989A89D">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简单防渗区包括：除危废暂存间，生产车间外的办公及厂区道路等区域。</w:t>
            </w:r>
          </w:p>
          <w:p w14:paraId="534A92D5">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表</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4-</w:t>
            </w:r>
            <w:r>
              <w:rPr>
                <w:rFonts w:hint="eastAsia" w:cs="Times New Roman"/>
                <w:b/>
                <w:bCs/>
                <w:color w:val="000000" w:themeColor="text1"/>
                <w:kern w:val="0"/>
                <w:sz w:val="21"/>
                <w:szCs w:val="21"/>
                <w:highlight w:val="none"/>
                <w:lang w:val="en-US" w:eastAsia="zh-CN"/>
                <w14:textFill>
                  <w14:solidFill>
                    <w14:schemeClr w14:val="tx1"/>
                  </w14:solidFill>
                </w14:textFill>
              </w:rPr>
              <w:t xml:space="preserve">20 </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highlight w:val="none"/>
                <w14:textFill>
                  <w14:solidFill>
                    <w14:schemeClr w14:val="tx1"/>
                  </w14:solidFill>
                </w14:textFill>
              </w:rPr>
              <w:t>项目</w:t>
            </w:r>
            <w:r>
              <w:rPr>
                <w:rFonts w:hint="eastAsia" w:cs="Times New Roman"/>
                <w:b/>
                <w:bCs/>
                <w:color w:val="000000" w:themeColor="text1"/>
                <w:kern w:val="0"/>
                <w:sz w:val="21"/>
                <w:szCs w:val="21"/>
                <w:highlight w:val="none"/>
                <w:lang w:val="en-US" w:eastAsia="zh-CN"/>
                <w14:textFill>
                  <w14:solidFill>
                    <w14:schemeClr w14:val="tx1"/>
                  </w14:solidFill>
                </w14:textFill>
              </w:rPr>
              <w:t>分区防渗</w:t>
            </w:r>
            <w:r>
              <w:rPr>
                <w:rFonts w:hint="default" w:ascii="Times New Roman" w:hAnsi="Times New Roman" w:cs="Times New Roman"/>
                <w:b/>
                <w:bCs/>
                <w:color w:val="000000" w:themeColor="text1"/>
                <w:kern w:val="0"/>
                <w:sz w:val="21"/>
                <w:szCs w:val="21"/>
                <w:highlight w:val="none"/>
                <w14:textFill>
                  <w14:solidFill>
                    <w14:schemeClr w14:val="tx1"/>
                  </w14:solidFill>
                </w14:textFill>
              </w:rPr>
              <w:t>一览表</w:t>
            </w:r>
          </w:p>
          <w:tbl>
            <w:tblPr>
              <w:tblStyle w:val="35"/>
              <w:tblW w:w="0" w:type="auto"/>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6"/>
              <w:gridCol w:w="1275"/>
              <w:gridCol w:w="696"/>
              <w:gridCol w:w="1596"/>
              <w:gridCol w:w="3733"/>
            </w:tblGrid>
            <w:tr w14:paraId="27A3ED8E">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75" w:type="pct"/>
                  <w:tcBorders>
                    <w:tl2br w:val="nil"/>
                    <w:tr2bl w:val="nil"/>
                  </w:tcBorders>
                  <w:shd w:val="clear" w:color="auto" w:fill="auto"/>
                  <w:noWrap w:val="0"/>
                  <w:vAlign w:val="center"/>
                </w:tcPr>
                <w:p w14:paraId="2DC88CCE">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b/>
                      <w:color w:val="000000" w:themeColor="text1"/>
                      <w:kern w:val="21"/>
                      <w:sz w:val="21"/>
                      <w:szCs w:val="21"/>
                      <w:highlight w:val="none"/>
                      <w14:textFill>
                        <w14:solidFill>
                          <w14:schemeClr w14:val="tx1"/>
                        </w14:solidFill>
                      </w14:textFill>
                    </w:rPr>
                  </w:pPr>
                  <w:r>
                    <w:rPr>
                      <w:rFonts w:hint="default" w:ascii="Times New Roman" w:hAnsi="Times New Roman" w:cs="Times New Roman"/>
                      <w:b/>
                      <w:color w:val="000000" w:themeColor="text1"/>
                      <w:kern w:val="21"/>
                      <w:sz w:val="21"/>
                      <w:szCs w:val="21"/>
                      <w:highlight w:val="none"/>
                      <w14:textFill>
                        <w14:solidFill>
                          <w14:schemeClr w14:val="tx1"/>
                        </w14:solidFill>
                      </w14:textFill>
                    </w:rPr>
                    <w:t>序号</w:t>
                  </w:r>
                </w:p>
              </w:tc>
              <w:tc>
                <w:tcPr>
                  <w:tcW w:w="1221" w:type="pct"/>
                  <w:gridSpan w:val="2"/>
                  <w:tcBorders>
                    <w:tl2br w:val="nil"/>
                    <w:tr2bl w:val="nil"/>
                  </w:tcBorders>
                  <w:shd w:val="clear" w:color="auto" w:fill="auto"/>
                  <w:noWrap w:val="0"/>
                  <w:vAlign w:val="center"/>
                </w:tcPr>
                <w:p w14:paraId="17EF03D7">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b/>
                      <w:color w:val="000000" w:themeColor="text1"/>
                      <w:kern w:val="21"/>
                      <w:sz w:val="21"/>
                      <w:szCs w:val="21"/>
                      <w:highlight w:val="none"/>
                      <w14:textFill>
                        <w14:solidFill>
                          <w14:schemeClr w14:val="tx1"/>
                        </w14:solidFill>
                      </w14:textFill>
                    </w:rPr>
                  </w:pPr>
                  <w:r>
                    <w:rPr>
                      <w:rFonts w:hint="default" w:ascii="Times New Roman" w:hAnsi="Times New Roman" w:cs="Times New Roman"/>
                      <w:b/>
                      <w:color w:val="000000" w:themeColor="text1"/>
                      <w:kern w:val="21"/>
                      <w:sz w:val="21"/>
                      <w:szCs w:val="21"/>
                      <w:highlight w:val="none"/>
                      <w14:textFill>
                        <w14:solidFill>
                          <w14:schemeClr w14:val="tx1"/>
                        </w14:solidFill>
                      </w14:textFill>
                    </w:rPr>
                    <w:t>防渗区域或部位</w:t>
                  </w:r>
                </w:p>
              </w:tc>
              <w:tc>
                <w:tcPr>
                  <w:tcW w:w="989" w:type="pct"/>
                  <w:tcBorders>
                    <w:tl2br w:val="nil"/>
                    <w:tr2bl w:val="nil"/>
                  </w:tcBorders>
                  <w:shd w:val="clear" w:color="auto" w:fill="auto"/>
                  <w:noWrap w:val="0"/>
                  <w:vAlign w:val="center"/>
                </w:tcPr>
                <w:p w14:paraId="1F58F673">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b/>
                      <w:color w:val="000000" w:themeColor="text1"/>
                      <w:kern w:val="21"/>
                      <w:sz w:val="21"/>
                      <w:szCs w:val="21"/>
                      <w:highlight w:val="none"/>
                      <w14:textFill>
                        <w14:solidFill>
                          <w14:schemeClr w14:val="tx1"/>
                        </w14:solidFill>
                      </w14:textFill>
                    </w:rPr>
                  </w:pPr>
                  <w:r>
                    <w:rPr>
                      <w:rFonts w:hint="default" w:ascii="Times New Roman" w:hAnsi="Times New Roman" w:cs="Times New Roman"/>
                      <w:b/>
                      <w:color w:val="000000" w:themeColor="text1"/>
                      <w:kern w:val="21"/>
                      <w:sz w:val="21"/>
                      <w:szCs w:val="21"/>
                      <w:highlight w:val="none"/>
                      <w14:textFill>
                        <w14:solidFill>
                          <w14:schemeClr w14:val="tx1"/>
                        </w14:solidFill>
                      </w14:textFill>
                    </w:rPr>
                    <w:t>防渗等级</w:t>
                  </w:r>
                </w:p>
              </w:tc>
              <w:tc>
                <w:tcPr>
                  <w:tcW w:w="2313" w:type="pct"/>
                  <w:tcBorders>
                    <w:tl2br w:val="nil"/>
                    <w:tr2bl w:val="nil"/>
                  </w:tcBorders>
                  <w:shd w:val="clear" w:color="auto" w:fill="auto"/>
                  <w:noWrap w:val="0"/>
                  <w:vAlign w:val="center"/>
                </w:tcPr>
                <w:p w14:paraId="0844D8C1">
                  <w:pPr>
                    <w:keepLines w:val="0"/>
                    <w:pageBreakBefore w:val="0"/>
                    <w:kinsoku/>
                    <w:overflowPunct w:val="0"/>
                    <w:bidi w:val="0"/>
                    <w:adjustRightInd w:val="0"/>
                    <w:snapToGrid/>
                    <w:spacing w:before="157" w:beforeLines="50" w:afterLines="0" w:line="360" w:lineRule="auto"/>
                    <w:jc w:val="cente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kern w:val="21"/>
                      <w:sz w:val="21"/>
                      <w:szCs w:val="21"/>
                      <w:highlight w:val="none"/>
                      <w14:textFill>
                        <w14:solidFill>
                          <w14:schemeClr w14:val="tx1"/>
                        </w14:solidFill>
                      </w14:textFill>
                    </w:rPr>
                    <w:t>防渗要求</w:t>
                  </w:r>
                  <w:r>
                    <w:rPr>
                      <w:rFonts w:hint="default" w:ascii="Times New Roman" w:hAnsi="Times New Roman" w:cs="Times New Roman"/>
                      <w:b/>
                      <w:color w:val="000000" w:themeColor="text1"/>
                      <w:kern w:val="21"/>
                      <w:sz w:val="21"/>
                      <w:szCs w:val="21"/>
                      <w:highlight w:val="none"/>
                      <w:lang w:val="en-US" w:eastAsia="zh-CN"/>
                      <w14:textFill>
                        <w14:solidFill>
                          <w14:schemeClr w14:val="tx1"/>
                        </w14:solidFill>
                      </w14:textFill>
                    </w:rPr>
                    <w:t>及措施</w:t>
                  </w:r>
                </w:p>
              </w:tc>
            </w:tr>
            <w:tr w14:paraId="4E754F00">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tcBorders>
                    <w:tl2br w:val="nil"/>
                    <w:tr2bl w:val="nil"/>
                  </w:tcBorders>
                  <w:shd w:val="clear" w:color="auto" w:fill="auto"/>
                  <w:noWrap w:val="0"/>
                  <w:vAlign w:val="center"/>
                </w:tcPr>
                <w:p w14:paraId="53F3C320">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1</w:t>
                  </w:r>
                </w:p>
              </w:tc>
              <w:tc>
                <w:tcPr>
                  <w:tcW w:w="790" w:type="pct"/>
                  <w:tcBorders>
                    <w:tl2br w:val="nil"/>
                    <w:tr2bl w:val="nil"/>
                  </w:tcBorders>
                  <w:shd w:val="clear" w:color="auto" w:fill="auto"/>
                  <w:noWrap w:val="0"/>
                  <w:vAlign w:val="center"/>
                </w:tcPr>
                <w:p w14:paraId="09EEBC30">
                  <w:pPr>
                    <w:keepLines w:val="0"/>
                    <w:pageBreakBefore w:val="0"/>
                    <w:kinsoku/>
                    <w:overflowPunct w:val="0"/>
                    <w:bidi w:val="0"/>
                    <w:adjustRightInd w:val="0"/>
                    <w:snapToGrid/>
                    <w:spacing w:before="157" w:beforeLines="50" w:afterLines="0" w:line="360" w:lineRule="auto"/>
                    <w:jc w:val="cente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Cs/>
                      <w:snapToGrid w:val="0"/>
                      <w:color w:val="000000" w:themeColor="text1"/>
                      <w:sz w:val="21"/>
                      <w:szCs w:val="21"/>
                      <w:highlight w:val="none"/>
                      <w:lang w:val="en-US" w:eastAsia="zh-CN"/>
                      <w14:textFill>
                        <w14:solidFill>
                          <w14:schemeClr w14:val="tx1"/>
                        </w14:solidFill>
                      </w14:textFill>
                    </w:rPr>
                    <w:t>危废暂存间</w:t>
                  </w:r>
                  <w:r>
                    <w:rPr>
                      <w:rFonts w:hint="eastAsia"/>
                      <w:color w:val="000000" w:themeColor="text1"/>
                      <w:szCs w:val="21"/>
                      <w:highlight w:val="none"/>
                      <w:lang w:eastAsia="zh-CN"/>
                      <w14:textFill>
                        <w14:solidFill>
                          <w14:schemeClr w14:val="tx1"/>
                        </w14:solidFill>
                      </w14:textFill>
                    </w:rPr>
                    <w:t>、机油库房</w:t>
                  </w:r>
                </w:p>
              </w:tc>
              <w:tc>
                <w:tcPr>
                  <w:tcW w:w="431" w:type="pct"/>
                  <w:tcBorders>
                    <w:tl2br w:val="nil"/>
                    <w:tr2bl w:val="nil"/>
                  </w:tcBorders>
                  <w:shd w:val="clear" w:color="auto" w:fill="auto"/>
                  <w:noWrap w:val="0"/>
                  <w:vAlign w:val="center"/>
                </w:tcPr>
                <w:p w14:paraId="5E9E83FF">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地面</w:t>
                  </w:r>
                </w:p>
              </w:tc>
              <w:tc>
                <w:tcPr>
                  <w:tcW w:w="989" w:type="pct"/>
                  <w:tcBorders>
                    <w:tl2br w:val="nil"/>
                    <w:tr2bl w:val="nil"/>
                  </w:tcBorders>
                  <w:shd w:val="clear" w:color="auto" w:fill="auto"/>
                  <w:noWrap w:val="0"/>
                  <w:vAlign w:val="center"/>
                </w:tcPr>
                <w:p w14:paraId="4FFEF4C0">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重点防渗区</w:t>
                  </w:r>
                </w:p>
              </w:tc>
              <w:tc>
                <w:tcPr>
                  <w:tcW w:w="2313" w:type="pct"/>
                  <w:tcBorders>
                    <w:tl2br w:val="nil"/>
                    <w:tr2bl w:val="nil"/>
                  </w:tcBorders>
                  <w:shd w:val="clear" w:color="auto" w:fill="auto"/>
                  <w:noWrap w:val="0"/>
                  <w:vAlign w:val="center"/>
                </w:tcPr>
                <w:p w14:paraId="35B70515">
                  <w:pPr>
                    <w:keepLines w:val="0"/>
                    <w:pageBreakBefore w:val="0"/>
                    <w:kinsoku/>
                    <w:overflowPunct w:val="0"/>
                    <w:bidi w:val="0"/>
                    <w:adjustRightInd w:val="0"/>
                    <w:snapToGrid/>
                    <w:spacing w:before="157" w:beforeLines="50" w:afterLines="0" w:line="360" w:lineRule="auto"/>
                    <w:ind w:firstLine="420" w:firstLineChars="200"/>
                    <w:jc w:val="left"/>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采用坚固、防渗、耐腐蚀的钢筋混凝土材料铺设，防渗层采用2mm厚的HDPE防渗材料</w:t>
                  </w:r>
                  <w:r>
                    <w:rPr>
                      <w:rFonts w:hint="default" w:ascii="Times New Roman" w:hAnsi="Times New Roman"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1"/>
                      <w:sz w:val="21"/>
                      <w:szCs w:val="21"/>
                      <w:highlight w:val="none"/>
                      <w14:textFill>
                        <w14:solidFill>
                          <w14:schemeClr w14:val="tx1"/>
                        </w14:solidFill>
                      </w14:textFill>
                    </w:rPr>
                    <w:t>等效黏土防渗层Mb≥6.0m，K≤1.0×10</w:t>
                  </w:r>
                  <w:r>
                    <w:rPr>
                      <w:rFonts w:hint="default" w:ascii="Times New Roman" w:hAnsi="Times New Roman" w:cs="Times New Roman"/>
                      <w:color w:val="000000" w:themeColor="text1"/>
                      <w:kern w:val="21"/>
                      <w:sz w:val="21"/>
                      <w:szCs w:val="21"/>
                      <w:highlight w:val="none"/>
                      <w:vertAlign w:val="superscript"/>
                      <w14:textFill>
                        <w14:solidFill>
                          <w14:schemeClr w14:val="tx1"/>
                        </w14:solidFill>
                      </w14:textFill>
                    </w:rPr>
                    <w:t>-</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kern w:val="21"/>
                      <w:sz w:val="21"/>
                      <w:szCs w:val="21"/>
                      <w:highlight w:val="none"/>
                      <w14:textFill>
                        <w14:solidFill>
                          <w14:schemeClr w14:val="tx1"/>
                        </w14:solidFill>
                      </w14:textFill>
                    </w:rPr>
                    <w:t>cm/s。</w:t>
                  </w:r>
                </w:p>
              </w:tc>
            </w:tr>
            <w:tr w14:paraId="0B3ACF51">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tcBorders>
                    <w:tl2br w:val="nil"/>
                    <w:tr2bl w:val="nil"/>
                  </w:tcBorders>
                  <w:shd w:val="clear" w:color="auto" w:fill="auto"/>
                  <w:noWrap w:val="0"/>
                  <w:vAlign w:val="center"/>
                </w:tcPr>
                <w:p w14:paraId="7E0F258F">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2</w:t>
                  </w:r>
                </w:p>
              </w:tc>
              <w:tc>
                <w:tcPr>
                  <w:tcW w:w="790" w:type="pct"/>
                  <w:tcBorders>
                    <w:tl2br w:val="nil"/>
                    <w:tr2bl w:val="nil"/>
                  </w:tcBorders>
                  <w:shd w:val="clear" w:color="auto" w:fill="auto"/>
                  <w:noWrap w:val="0"/>
                  <w:vAlign w:val="center"/>
                </w:tcPr>
                <w:p w14:paraId="68CC566F">
                  <w:pPr>
                    <w:keepLines w:val="0"/>
                    <w:pageBreakBefore w:val="0"/>
                    <w:kinsoku/>
                    <w:overflowPunct w:val="0"/>
                    <w:bidi w:val="0"/>
                    <w:adjustRightInd w:val="0"/>
                    <w:snapToGrid/>
                    <w:spacing w:before="157" w:beforeLines="50" w:afterLines="0" w:line="36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碎石堆场、砂堆场</w:t>
                  </w:r>
                  <w:r>
                    <w:rPr>
                      <w:rFonts w:hint="eastAsia" w:cs="Times New Roman"/>
                      <w:color w:val="000000" w:themeColor="text1"/>
                      <w:kern w:val="21"/>
                      <w:sz w:val="21"/>
                      <w:szCs w:val="21"/>
                      <w:highlight w:val="none"/>
                      <w:lang w:val="en-US" w:eastAsia="zh-CN"/>
                      <w14:textFill>
                        <w14:solidFill>
                          <w14:schemeClr w14:val="tx1"/>
                        </w14:solidFill>
                      </w14:textFill>
                    </w:rPr>
                    <w:t>、洗车区</w:t>
                  </w: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、三级沉淀池、初期雨水池、一般固废间</w:t>
                  </w:r>
                </w:p>
              </w:tc>
              <w:tc>
                <w:tcPr>
                  <w:tcW w:w="431" w:type="pct"/>
                  <w:tcBorders>
                    <w:tl2br w:val="nil"/>
                    <w:tr2bl w:val="nil"/>
                  </w:tcBorders>
                  <w:shd w:val="clear" w:color="auto" w:fill="auto"/>
                  <w:noWrap w:val="0"/>
                  <w:vAlign w:val="center"/>
                </w:tcPr>
                <w:p w14:paraId="099FAF49">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地面</w:t>
                  </w:r>
                </w:p>
              </w:tc>
              <w:tc>
                <w:tcPr>
                  <w:tcW w:w="989" w:type="pct"/>
                  <w:tcBorders>
                    <w:tl2br w:val="nil"/>
                    <w:tr2bl w:val="nil"/>
                  </w:tcBorders>
                  <w:shd w:val="clear" w:color="auto" w:fill="auto"/>
                  <w:noWrap w:val="0"/>
                  <w:vAlign w:val="center"/>
                </w:tcPr>
                <w:p w14:paraId="69C07890">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一般防渗区</w:t>
                  </w:r>
                </w:p>
              </w:tc>
              <w:tc>
                <w:tcPr>
                  <w:tcW w:w="2313" w:type="pct"/>
                  <w:tcBorders>
                    <w:tl2br w:val="nil"/>
                    <w:tr2bl w:val="nil"/>
                  </w:tcBorders>
                  <w:shd w:val="clear" w:color="auto" w:fill="auto"/>
                  <w:noWrap w:val="0"/>
                  <w:vAlign w:val="center"/>
                </w:tcPr>
                <w:p w14:paraId="0338664E">
                  <w:pPr>
                    <w:keepLines w:val="0"/>
                    <w:pageBreakBefore w:val="0"/>
                    <w:kinsoku/>
                    <w:overflowPunct w:val="0"/>
                    <w:bidi w:val="0"/>
                    <w:adjustRightInd w:val="0"/>
                    <w:snapToGrid/>
                    <w:spacing w:before="157" w:beforeLines="50" w:afterLines="0" w:line="360" w:lineRule="auto"/>
                    <w:ind w:firstLine="420" w:firstLineChars="200"/>
                    <w:jc w:val="left"/>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防渗混凝土，</w:t>
                  </w:r>
                  <w:r>
                    <w:rPr>
                      <w:rFonts w:hint="default" w:ascii="Times New Roman" w:hAnsi="Times New Roman" w:cs="Times New Roman"/>
                      <w:color w:val="000000" w:themeColor="text1"/>
                      <w:kern w:val="21"/>
                      <w:sz w:val="21"/>
                      <w:szCs w:val="21"/>
                      <w:highlight w:val="none"/>
                      <w14:textFill>
                        <w14:solidFill>
                          <w14:schemeClr w14:val="tx1"/>
                        </w14:solidFill>
                      </w14:textFill>
                    </w:rPr>
                    <w:t>等效黏土防渗层Mb≧1.5m，渗透系数≤10</w:t>
                  </w:r>
                  <w:r>
                    <w:rPr>
                      <w:rFonts w:hint="default" w:ascii="Times New Roman" w:hAnsi="Times New Roman" w:cs="Times New Roman"/>
                      <w:color w:val="000000" w:themeColor="text1"/>
                      <w:kern w:val="2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kern w:val="21"/>
                      <w:sz w:val="21"/>
                      <w:szCs w:val="21"/>
                      <w:highlight w:val="none"/>
                      <w14:textFill>
                        <w14:solidFill>
                          <w14:schemeClr w14:val="tx1"/>
                        </w14:solidFill>
                      </w14:textFill>
                    </w:rPr>
                    <w:t>cm/s</w:t>
                  </w:r>
                </w:p>
              </w:tc>
            </w:tr>
            <w:tr w14:paraId="6BE23ECC">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pct"/>
                  <w:tcBorders>
                    <w:tl2br w:val="nil"/>
                    <w:tr2bl w:val="nil"/>
                  </w:tcBorders>
                  <w:shd w:val="clear" w:color="auto" w:fill="auto"/>
                  <w:noWrap w:val="0"/>
                  <w:vAlign w:val="center"/>
                </w:tcPr>
                <w:p w14:paraId="3C2720D6">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3</w:t>
                  </w:r>
                </w:p>
              </w:tc>
              <w:tc>
                <w:tcPr>
                  <w:tcW w:w="790" w:type="pct"/>
                  <w:tcBorders>
                    <w:tl2br w:val="nil"/>
                    <w:tr2bl w:val="nil"/>
                  </w:tcBorders>
                  <w:shd w:val="clear" w:color="auto" w:fill="auto"/>
                  <w:noWrap w:val="0"/>
                  <w:vAlign w:val="center"/>
                </w:tcPr>
                <w:p w14:paraId="6191D7E1">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办公</w:t>
                  </w:r>
                  <w:r>
                    <w:rPr>
                      <w:rFonts w:hint="default" w:ascii="Times New Roman" w:hAnsi="Times New Roman"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道路等</w:t>
                  </w:r>
                  <w:r>
                    <w:rPr>
                      <w:rFonts w:hint="default" w:ascii="Times New Roman" w:hAnsi="Times New Roman" w:cs="Times New Roman"/>
                      <w:color w:val="000000" w:themeColor="text1"/>
                      <w:kern w:val="21"/>
                      <w:sz w:val="21"/>
                      <w:szCs w:val="21"/>
                      <w:highlight w:val="none"/>
                      <w14:textFill>
                        <w14:solidFill>
                          <w14:schemeClr w14:val="tx1"/>
                        </w14:solidFill>
                      </w14:textFill>
                    </w:rPr>
                    <w:t>区域</w:t>
                  </w:r>
                </w:p>
              </w:tc>
              <w:tc>
                <w:tcPr>
                  <w:tcW w:w="431" w:type="pct"/>
                  <w:tcBorders>
                    <w:tl2br w:val="nil"/>
                    <w:tr2bl w:val="nil"/>
                  </w:tcBorders>
                  <w:shd w:val="clear" w:color="auto" w:fill="auto"/>
                  <w:noWrap w:val="0"/>
                  <w:vAlign w:val="center"/>
                </w:tcPr>
                <w:p w14:paraId="08764ECA">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地面</w:t>
                  </w:r>
                </w:p>
              </w:tc>
              <w:tc>
                <w:tcPr>
                  <w:tcW w:w="989" w:type="pct"/>
                  <w:tcBorders>
                    <w:tl2br w:val="nil"/>
                    <w:tr2bl w:val="nil"/>
                  </w:tcBorders>
                  <w:shd w:val="clear" w:color="auto" w:fill="auto"/>
                  <w:noWrap w:val="0"/>
                  <w:vAlign w:val="center"/>
                </w:tcPr>
                <w:p w14:paraId="6533FCC8">
                  <w:pPr>
                    <w:keepLines w:val="0"/>
                    <w:pageBreakBefore w:val="0"/>
                    <w:kinsoku/>
                    <w:overflowPunct w:val="0"/>
                    <w:bidi w:val="0"/>
                    <w:adjustRightInd w:val="0"/>
                    <w:snapToGrid/>
                    <w:spacing w:before="157" w:beforeLines="50" w:afterLines="0" w:line="360" w:lineRule="auto"/>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简单防渗区</w:t>
                  </w:r>
                </w:p>
              </w:tc>
              <w:tc>
                <w:tcPr>
                  <w:tcW w:w="2313" w:type="pct"/>
                  <w:tcBorders>
                    <w:tl2br w:val="nil"/>
                    <w:tr2bl w:val="nil"/>
                  </w:tcBorders>
                  <w:shd w:val="clear" w:color="auto" w:fill="auto"/>
                  <w:noWrap w:val="0"/>
                  <w:vAlign w:val="center"/>
                </w:tcPr>
                <w:p w14:paraId="4E76FF8E">
                  <w:pPr>
                    <w:keepLines w:val="0"/>
                    <w:pageBreakBefore w:val="0"/>
                    <w:kinsoku/>
                    <w:overflowPunct w:val="0"/>
                    <w:bidi w:val="0"/>
                    <w:adjustRightInd w:val="0"/>
                    <w:snapToGrid/>
                    <w:spacing w:before="157" w:beforeLines="50" w:afterLines="0" w:line="360" w:lineRule="auto"/>
                    <w:ind w:firstLine="420" w:firstLineChars="200"/>
                    <w:jc w:val="left"/>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混凝土</w:t>
                  </w:r>
                  <w:r>
                    <w:rPr>
                      <w:rFonts w:hint="default" w:ascii="Times New Roman" w:hAnsi="Times New Roman" w:cs="Times New Roman"/>
                      <w:color w:val="000000" w:themeColor="text1"/>
                      <w:kern w:val="21"/>
                      <w:sz w:val="21"/>
                      <w:szCs w:val="21"/>
                      <w:highlight w:val="none"/>
                      <w14:textFill>
                        <w14:solidFill>
                          <w14:schemeClr w14:val="tx1"/>
                        </w14:solidFill>
                      </w14:textFill>
                    </w:rPr>
                    <w:t>硬化处理</w:t>
                  </w:r>
                </w:p>
              </w:tc>
            </w:tr>
          </w:tbl>
          <w:p w14:paraId="72E7AE47">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拟设置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防渗措施满足《环境影响评价技术导则 地下水环境》（HJ610-2016）中防渗技术要求，可从污染源头和途径上减少因废水或物料泄漏、渗入地下水，不会对地下水环境和土壤环境造成不利影响。</w:t>
            </w:r>
          </w:p>
          <w:p w14:paraId="7ABB6A78">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按照地下水导则和土壤导则相关要求，结合项目实际情况，本项目运行期间无地下水和土壤跟踪监测要求。</w:t>
            </w:r>
          </w:p>
          <w:p w14:paraId="3118777B">
            <w:pPr>
              <w:keepNext w:val="0"/>
              <w:keepLines w:val="0"/>
              <w:pageBreakBefore w:val="0"/>
              <w:kinsoku/>
              <w:wordWrap/>
              <w:overflowPunct/>
              <w:bidi w:val="0"/>
              <w:adjustRightInd/>
              <w:snapToGrid/>
              <w:spacing w:beforeLines="0" w:afterLines="0" w:line="360" w:lineRule="auto"/>
              <w:ind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6、生态</w:t>
            </w:r>
          </w:p>
          <w:p w14:paraId="15DA34B0">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本项目位于产业园区外建设，根据调查，项目用地范围周边无生态环境保护目标的，因此项目建设对生态环境影响很小。</w:t>
            </w:r>
          </w:p>
          <w:p w14:paraId="2CA3DBA5">
            <w:pPr>
              <w:keepNext w:val="0"/>
              <w:keepLines w:val="0"/>
              <w:pageBreakBefore w:val="0"/>
              <w:kinsoku/>
              <w:wordWrap/>
              <w:overflowPunct/>
              <w:bidi w:val="0"/>
              <w:adjustRightInd/>
              <w:snapToGrid/>
              <w:spacing w:beforeLines="0" w:afterLines="0" w:line="360" w:lineRule="auto"/>
              <w:ind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、环境风险</w:t>
            </w:r>
          </w:p>
          <w:p w14:paraId="5BF1623A">
            <w:pPr>
              <w:keepLines w:val="0"/>
              <w:pageBreakBefore w:val="0"/>
              <w:kinsoku/>
              <w:bidi w:val="0"/>
              <w:adjustRightInd w:val="0"/>
              <w:snapToGrid/>
              <w:spacing w:beforeLines="0" w:afterLines="0" w:line="360" w:lineRule="auto"/>
              <w:ind w:firstLine="480" w:firstLineChars="200"/>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环境风险评价是分析和预测建设项目存在的潜在危险、有害因素，项目运行期间可能发生的突发性时间或事故（不包括</w:t>
            </w:r>
            <w:r>
              <w:rPr>
                <w:rFonts w:hint="default" w:ascii="Times New Roman" w:hAnsi="Times New Roman" w:eastAsia="宋体" w:cs="Times New Roman"/>
                <w:b w:val="0"/>
                <w:bCs w:val="0"/>
                <w:color w:val="000000" w:themeColor="text1"/>
                <w:kern w:val="21"/>
                <w:sz w:val="24"/>
                <w:szCs w:val="24"/>
                <w:highlight w:val="none"/>
                <w:lang w:eastAsia="zh-CN"/>
                <w14:textFill>
                  <w14:solidFill>
                    <w14:schemeClr w14:val="tx1"/>
                  </w14:solidFill>
                </w14:textFill>
              </w:rPr>
              <w:t>人为</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破坏及自然灾害），引起有毒有害和易燃易爆等物质泄漏，造成人身安全与环境影响和损害程度，提出防范、应急与减缓措施，使项目事故率、损失和环境影响达到可接受水平。</w:t>
            </w:r>
          </w:p>
          <w:p w14:paraId="40711468">
            <w:pPr>
              <w:keepLines w:val="0"/>
              <w:pageBreakBefore w:val="0"/>
              <w:kinsoku/>
              <w:bidi w:val="0"/>
              <w:adjustRightInd w:val="0"/>
              <w:snapToGrid/>
              <w:spacing w:beforeLines="0" w:afterLines="0" w:line="360" w:lineRule="auto"/>
              <w:ind w:firstLine="482" w:firstLineChars="200"/>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14:textFill>
                  <w14:solidFill>
                    <w14:schemeClr w14:val="tx1"/>
                  </w14:solidFill>
                </w14:textFill>
              </w:rPr>
              <w:t>（1）风险源调查</w:t>
            </w:r>
          </w:p>
          <w:p w14:paraId="59FA8652">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30F06B34">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当只涉及一种危险物质时，计算该物质的总量与其临界量比值，即为Q；</w:t>
            </w:r>
          </w:p>
          <w:p w14:paraId="56655F69">
            <w:pPr>
              <w:keepLines w:val="0"/>
              <w:pageBreakBefore w:val="0"/>
              <w:kinsoku/>
              <w:bidi w:val="0"/>
              <w:snapToGrid/>
              <w:spacing w:beforeLines="0" w:afterLines="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当存在多种危险物质时，则按下式计算物质总量与其临界量比值（Q）：</w:t>
            </w:r>
          </w:p>
          <w:p w14:paraId="6F7389B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leftChars="0" w:right="0" w:rightChars="0" w:firstLine="0" w:firstLineChars="0"/>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Q=q1/Q1+ q2/Q2……+ qn/Qn</w:t>
            </w:r>
          </w:p>
          <w:p w14:paraId="0009F37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式中：q1.q2…，qn 为每种危险化学品实际存在量，t；</w:t>
            </w:r>
          </w:p>
          <w:p w14:paraId="7515CA1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Q1. Q2…Qn 为与各危险化学品相对应的临界量，t。</w:t>
            </w:r>
          </w:p>
          <w:p w14:paraId="07BCB4C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1200" w:firstLineChars="5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当Q＜1 时，该项目环境风险潜势为Ⅰ。</w:t>
            </w:r>
          </w:p>
          <w:p w14:paraId="548E3D90">
            <w:pPr>
              <w:keepLines w:val="0"/>
              <w:pageBreakBefore w:val="0"/>
              <w:kinsoku/>
              <w:bidi w:val="0"/>
              <w:adjustRightInd w:val="0"/>
              <w:snapToGrid/>
              <w:spacing w:beforeLines="0" w:afterLines="0"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当Q≥1时，将Q 值划分为：（1）1≤Q＜10；（2）10≤Q＜100；（3）Q≥100。</w:t>
            </w:r>
          </w:p>
          <w:p w14:paraId="1BE8D186">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表4-</w:t>
            </w:r>
            <w:r>
              <w:rPr>
                <w:rFonts w:hint="eastAsia" w:cs="Times New Roman"/>
                <w:b/>
                <w:bCs/>
                <w:color w:val="000000" w:themeColor="text1"/>
                <w:kern w:val="0"/>
                <w:sz w:val="21"/>
                <w:szCs w:val="21"/>
                <w:highlight w:val="none"/>
                <w:lang w:val="en-US" w:eastAsia="zh-CN"/>
                <w14:textFill>
                  <w14:solidFill>
                    <w14:schemeClr w14:val="tx1"/>
                  </w14:solidFill>
                </w14:textFill>
              </w:rPr>
              <w:t xml:space="preserve">21 </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项目风险</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物质</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临界量一览表</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8"/>
              <w:gridCol w:w="1253"/>
              <w:gridCol w:w="982"/>
              <w:gridCol w:w="1855"/>
              <w:gridCol w:w="1370"/>
              <w:gridCol w:w="1962"/>
            </w:tblGrid>
            <w:tr w14:paraId="453FE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55" w:type="pct"/>
                  <w:tcBorders>
                    <w:tl2br w:val="nil"/>
                    <w:tr2bl w:val="nil"/>
                  </w:tcBorders>
                  <w:shd w:val="clear" w:color="auto" w:fill="auto"/>
                  <w:noWrap/>
                  <w:vAlign w:val="center"/>
                </w:tcPr>
                <w:p w14:paraId="3BAE39D7">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序号</w:t>
                  </w:r>
                </w:p>
              </w:tc>
              <w:tc>
                <w:tcPr>
                  <w:tcW w:w="829" w:type="pct"/>
                  <w:tcBorders>
                    <w:tl2br w:val="nil"/>
                    <w:tr2bl w:val="nil"/>
                  </w:tcBorders>
                  <w:shd w:val="clear" w:color="auto" w:fill="auto"/>
                  <w:noWrap/>
                  <w:vAlign w:val="center"/>
                </w:tcPr>
                <w:p w14:paraId="1EF38871">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风险物质</w:t>
                  </w:r>
                </w:p>
              </w:tc>
              <w:tc>
                <w:tcPr>
                  <w:tcW w:w="661" w:type="pct"/>
                  <w:tcBorders>
                    <w:tl2br w:val="nil"/>
                    <w:tr2bl w:val="nil"/>
                  </w:tcBorders>
                  <w:shd w:val="clear" w:color="auto" w:fill="auto"/>
                  <w:noWrap/>
                  <w:vAlign w:val="center"/>
                </w:tcPr>
                <w:p w14:paraId="72171AAF">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CAS号</w:t>
                  </w:r>
                </w:p>
              </w:tc>
              <w:tc>
                <w:tcPr>
                  <w:tcW w:w="1037" w:type="pct"/>
                  <w:tcBorders>
                    <w:tl2br w:val="nil"/>
                    <w:tr2bl w:val="nil"/>
                  </w:tcBorders>
                  <w:shd w:val="clear" w:color="auto" w:fill="auto"/>
                  <w:noWrap/>
                  <w:vAlign w:val="center"/>
                </w:tcPr>
                <w:p w14:paraId="5CFA6B90">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最大存在总量q</w:t>
                  </w:r>
                  <w:r>
                    <w:rPr>
                      <w:rFonts w:hint="default" w:ascii="Times New Roman" w:hAnsi="Times New Roman" w:cs="Times New Roman"/>
                      <w:b/>
                      <w:color w:val="000000" w:themeColor="text1"/>
                      <w:kern w:val="21"/>
                      <w:szCs w:val="21"/>
                      <w:highlight w:val="none"/>
                      <w:vertAlign w:val="subscript"/>
                      <w14:textFill>
                        <w14:solidFill>
                          <w14:schemeClr w14:val="tx1"/>
                        </w14:solidFill>
                      </w14:textFill>
                    </w:rPr>
                    <w:t>n</w:t>
                  </w:r>
                  <w:r>
                    <w:rPr>
                      <w:rFonts w:hint="default" w:ascii="Times New Roman" w:hAnsi="Times New Roman" w:cs="Times New Roman"/>
                      <w:b/>
                      <w:color w:val="000000" w:themeColor="text1"/>
                      <w:kern w:val="21"/>
                      <w:szCs w:val="21"/>
                      <w:highlight w:val="none"/>
                      <w14:textFill>
                        <w14:solidFill>
                          <w14:schemeClr w14:val="tx1"/>
                        </w14:solidFill>
                      </w14:textFill>
                    </w:rPr>
                    <w:t>/t</w:t>
                  </w:r>
                </w:p>
              </w:tc>
              <w:tc>
                <w:tcPr>
                  <w:tcW w:w="900" w:type="pct"/>
                  <w:tcBorders>
                    <w:tl2br w:val="nil"/>
                    <w:tr2bl w:val="nil"/>
                  </w:tcBorders>
                  <w:shd w:val="clear" w:color="auto" w:fill="auto"/>
                  <w:noWrap/>
                  <w:vAlign w:val="center"/>
                </w:tcPr>
                <w:p w14:paraId="437BB65A">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临界量Q</w:t>
                  </w:r>
                  <w:r>
                    <w:rPr>
                      <w:rFonts w:hint="default" w:ascii="Times New Roman" w:hAnsi="Times New Roman" w:cs="Times New Roman"/>
                      <w:b/>
                      <w:color w:val="000000" w:themeColor="text1"/>
                      <w:kern w:val="21"/>
                      <w:szCs w:val="21"/>
                      <w:highlight w:val="none"/>
                      <w:vertAlign w:val="subscript"/>
                      <w14:textFill>
                        <w14:solidFill>
                          <w14:schemeClr w14:val="tx1"/>
                        </w14:solidFill>
                      </w14:textFill>
                    </w:rPr>
                    <w:t>n</w:t>
                  </w:r>
                  <w:r>
                    <w:rPr>
                      <w:rFonts w:hint="default" w:ascii="Times New Roman" w:hAnsi="Times New Roman" w:cs="Times New Roman"/>
                      <w:b/>
                      <w:color w:val="000000" w:themeColor="text1"/>
                      <w:kern w:val="21"/>
                      <w:szCs w:val="21"/>
                      <w:highlight w:val="none"/>
                      <w14:textFill>
                        <w14:solidFill>
                          <w14:schemeClr w14:val="tx1"/>
                        </w14:solidFill>
                      </w14:textFill>
                    </w:rPr>
                    <w:t xml:space="preserve">/t </w:t>
                  </w:r>
                </w:p>
              </w:tc>
              <w:tc>
                <w:tcPr>
                  <w:tcW w:w="1215" w:type="pct"/>
                  <w:tcBorders>
                    <w:tl2br w:val="nil"/>
                    <w:tr2bl w:val="nil"/>
                  </w:tcBorders>
                  <w:shd w:val="clear" w:color="auto" w:fill="auto"/>
                  <w:noWrap/>
                  <w:vAlign w:val="center"/>
                </w:tcPr>
                <w:p w14:paraId="29BB2D3C">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b/>
                      <w:color w:val="000000" w:themeColor="text1"/>
                      <w:kern w:val="21"/>
                      <w:szCs w:val="21"/>
                      <w:highlight w:val="none"/>
                      <w14:textFill>
                        <w14:solidFill>
                          <w14:schemeClr w14:val="tx1"/>
                        </w14:solidFill>
                      </w14:textFill>
                    </w:rPr>
                  </w:pPr>
                  <w:r>
                    <w:rPr>
                      <w:rFonts w:hint="default" w:ascii="Times New Roman" w:hAnsi="Times New Roman" w:cs="Times New Roman"/>
                      <w:b/>
                      <w:color w:val="000000" w:themeColor="text1"/>
                      <w:kern w:val="21"/>
                      <w:szCs w:val="21"/>
                      <w:highlight w:val="none"/>
                      <w14:textFill>
                        <w14:solidFill>
                          <w14:schemeClr w14:val="tx1"/>
                        </w14:solidFill>
                      </w14:textFill>
                    </w:rPr>
                    <w:t>该种危险物质Q值</w:t>
                  </w:r>
                </w:p>
              </w:tc>
            </w:tr>
            <w:tr w14:paraId="0B08ED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tcBorders>
                    <w:tl2br w:val="nil"/>
                    <w:tr2bl w:val="nil"/>
                  </w:tcBorders>
                  <w:shd w:val="clear" w:color="auto" w:fill="auto"/>
                  <w:noWrap/>
                  <w:vAlign w:val="center"/>
                </w:tcPr>
                <w:p w14:paraId="342B47B7">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1</w:t>
                  </w:r>
                </w:p>
              </w:tc>
              <w:tc>
                <w:tcPr>
                  <w:tcW w:w="829" w:type="pct"/>
                  <w:tcBorders>
                    <w:tl2br w:val="nil"/>
                    <w:tr2bl w:val="nil"/>
                  </w:tcBorders>
                  <w:shd w:val="clear" w:color="auto" w:fill="auto"/>
                  <w:noWrap/>
                  <w:vAlign w:val="center"/>
                </w:tcPr>
                <w:p w14:paraId="0C520215">
                  <w:pPr>
                    <w:keepLines w:val="0"/>
                    <w:pageBreakBefore w:val="0"/>
                    <w:tabs>
                      <w:tab w:val="left" w:pos="3780"/>
                    </w:tabs>
                    <w:kinsoku/>
                    <w:bidi w:val="0"/>
                    <w:snapToGrid/>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废机油</w:t>
                  </w:r>
                </w:p>
              </w:tc>
              <w:tc>
                <w:tcPr>
                  <w:tcW w:w="661" w:type="pct"/>
                  <w:tcBorders>
                    <w:tl2br w:val="nil"/>
                    <w:tr2bl w:val="nil"/>
                  </w:tcBorders>
                  <w:shd w:val="clear" w:color="auto" w:fill="auto"/>
                  <w:noWrap/>
                  <w:vAlign w:val="center"/>
                </w:tcPr>
                <w:p w14:paraId="4AEE3E74">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color w:val="000000" w:themeColor="text1"/>
                      <w:kern w:val="21"/>
                      <w:szCs w:val="21"/>
                      <w:highlight w:val="none"/>
                      <w:lang w:val="en-US"/>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w:t>
                  </w:r>
                </w:p>
              </w:tc>
              <w:tc>
                <w:tcPr>
                  <w:tcW w:w="1037" w:type="pct"/>
                  <w:tcBorders>
                    <w:tl2br w:val="nil"/>
                    <w:tr2bl w:val="nil"/>
                  </w:tcBorders>
                  <w:shd w:val="clear" w:color="auto" w:fill="auto"/>
                  <w:noWrap/>
                  <w:vAlign w:val="center"/>
                </w:tcPr>
                <w:p w14:paraId="3F3BC5C4">
                  <w:pPr>
                    <w:keepLines w:val="0"/>
                    <w:pageBreakBefore w:val="0"/>
                    <w:tabs>
                      <w:tab w:val="left" w:pos="3780"/>
                    </w:tabs>
                    <w:kinsoku/>
                    <w:bidi w:val="0"/>
                    <w:snapToGrid/>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0.1</w:t>
                  </w:r>
                </w:p>
              </w:tc>
              <w:tc>
                <w:tcPr>
                  <w:tcW w:w="900" w:type="pct"/>
                  <w:tcBorders>
                    <w:tl2br w:val="nil"/>
                    <w:tr2bl w:val="nil"/>
                  </w:tcBorders>
                  <w:shd w:val="clear" w:color="auto" w:fill="auto"/>
                  <w:noWrap/>
                  <w:vAlign w:val="center"/>
                </w:tcPr>
                <w:p w14:paraId="26B199B9">
                  <w:pPr>
                    <w:keepLines w:val="0"/>
                    <w:pageBreakBefore w:val="0"/>
                    <w:tabs>
                      <w:tab w:val="left" w:pos="3780"/>
                    </w:tabs>
                    <w:kinsoku/>
                    <w:bidi w:val="0"/>
                    <w:snapToGrid/>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2500</w:t>
                  </w:r>
                </w:p>
              </w:tc>
              <w:tc>
                <w:tcPr>
                  <w:tcW w:w="1215" w:type="pct"/>
                  <w:tcBorders>
                    <w:tl2br w:val="nil"/>
                    <w:tr2bl w:val="nil"/>
                  </w:tcBorders>
                  <w:shd w:val="clear" w:color="auto" w:fill="auto"/>
                  <w:noWrap/>
                  <w:vAlign w:val="center"/>
                </w:tcPr>
                <w:p w14:paraId="30D27B04">
                  <w:pPr>
                    <w:keepLines w:val="0"/>
                    <w:pageBreakBefore w:val="0"/>
                    <w:kinsoku/>
                    <w:bidi w:val="0"/>
                    <w:snapToGrid/>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lang w:val="en-US" w:eastAsia="zh-CN"/>
                      <w14:textFill>
                        <w14:solidFill>
                          <w14:schemeClr w14:val="tx1"/>
                        </w14:solidFill>
                      </w14:textFill>
                    </w:rPr>
                    <w:t>0.00004</w:t>
                  </w:r>
                </w:p>
              </w:tc>
            </w:tr>
            <w:tr w14:paraId="3808B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4" w:type="pct"/>
                  <w:gridSpan w:val="5"/>
                  <w:tcBorders>
                    <w:tl2br w:val="nil"/>
                    <w:tr2bl w:val="nil"/>
                  </w:tcBorders>
                  <w:shd w:val="clear" w:color="auto" w:fill="auto"/>
                  <w:noWrap/>
                  <w:vAlign w:val="center"/>
                </w:tcPr>
                <w:p w14:paraId="1027DC11">
                  <w:pPr>
                    <w:keepLines w:val="0"/>
                    <w:pageBreakBefore w:val="0"/>
                    <w:tabs>
                      <w:tab w:val="left" w:pos="3780"/>
                    </w:tabs>
                    <w:kinsoku/>
                    <w:bidi w:val="0"/>
                    <w:snapToGrid/>
                    <w:spacing w:before="157" w:beforeLines="50" w:afterLines="0" w:line="360" w:lineRule="auto"/>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合计</w:t>
                  </w:r>
                </w:p>
              </w:tc>
              <w:tc>
                <w:tcPr>
                  <w:tcW w:w="1215" w:type="pct"/>
                  <w:tcBorders>
                    <w:tl2br w:val="nil"/>
                    <w:tr2bl w:val="nil"/>
                  </w:tcBorders>
                  <w:shd w:val="clear" w:color="auto" w:fill="auto"/>
                  <w:noWrap/>
                  <w:vAlign w:val="center"/>
                </w:tcPr>
                <w:p w14:paraId="746A77FE">
                  <w:pPr>
                    <w:keepLines w:val="0"/>
                    <w:pageBreakBefore w:val="0"/>
                    <w:tabs>
                      <w:tab w:val="left" w:pos="3780"/>
                    </w:tabs>
                    <w:kinsoku/>
                    <w:bidi w:val="0"/>
                    <w:snapToGrid/>
                    <w:spacing w:before="157" w:beforeLines="50" w:afterLines="0" w:line="360" w:lineRule="auto"/>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0.00004</w:t>
                  </w:r>
                </w:p>
              </w:tc>
            </w:tr>
          </w:tbl>
          <w:p w14:paraId="0CBBE443">
            <w:pPr>
              <w:keepLines w:val="0"/>
              <w:pageBreakBefore w:val="0"/>
              <w:tabs>
                <w:tab w:val="right" w:pos="9070"/>
              </w:tabs>
              <w:kinsoku/>
              <w:bidi w:val="0"/>
              <w:snapToGrid/>
              <w:spacing w:beforeLines="0" w:afterLines="0" w:line="360" w:lineRule="auto"/>
              <w:ind w:firstLine="480" w:firstLineChars="200"/>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根据《建设项目环境风险评价技术导则》（HJ169-2018）要求，本项目危险物质数量与临界量比值Q=</w:t>
            </w:r>
            <w:r>
              <w:rPr>
                <w:rFonts w:hint="default" w:ascii="Times New Roman" w:hAnsi="Times New Roman" w:eastAsia="宋体" w:cs="Times New Roman"/>
                <w:color w:val="000000" w:themeColor="text1"/>
                <w:kern w:val="21"/>
                <w:sz w:val="24"/>
                <w:szCs w:val="24"/>
                <w:highlight w:val="none"/>
                <w:lang w:val="en-US" w:eastAsia="zh-CN"/>
                <w14:textFill>
                  <w14:solidFill>
                    <w14:schemeClr w14:val="tx1"/>
                  </w14:solidFill>
                </w14:textFill>
              </w:rPr>
              <w:t>0.00004</w:t>
            </w:r>
            <w:r>
              <w:rPr>
                <w:rFonts w:hint="default" w:ascii="Times New Roman" w:hAnsi="Times New Roman" w:eastAsia="宋体" w:cs="Times New Roman"/>
                <w:color w:val="000000" w:themeColor="text1"/>
                <w:kern w:val="21"/>
                <w:sz w:val="24"/>
                <w:szCs w:val="24"/>
                <w:highlight w:val="none"/>
                <w:lang w:eastAsia="zh-CN"/>
                <w14:textFill>
                  <w14:solidFill>
                    <w14:schemeClr w14:val="tx1"/>
                  </w14:solidFill>
                </w14:textFill>
              </w:rPr>
              <w:t>＜1，根据导则附录C.1.1规定，当Q＜1时，该项目环境风险潜势为Ⅰ，因此本项目的环境风险潜势为Ⅰ，评价工作等级为简单分析。</w:t>
            </w:r>
          </w:p>
          <w:p w14:paraId="54B23618">
            <w:pPr>
              <w:keepLines w:val="0"/>
              <w:pageBreakBefore w:val="0"/>
              <w:kinsoku/>
              <w:bidi w:val="0"/>
              <w:adjustRightInd w:val="0"/>
              <w:snapToGrid/>
              <w:spacing w:beforeLines="0" w:afterLines="0" w:line="360" w:lineRule="auto"/>
              <w:ind w:firstLine="482" w:firstLineChars="200"/>
              <w:rPr>
                <w:rFonts w:hint="default" w:ascii="Times New Roman" w:hAnsi="Times New Roman" w:cs="Times New Roman"/>
                <w:b/>
                <w:bCs/>
                <w:color w:val="000000" w:themeColor="text1"/>
                <w:kern w:val="21"/>
                <w:sz w:val="24"/>
                <w:szCs w:val="24"/>
                <w:highlight w:val="none"/>
                <w14:textFill>
                  <w14:solidFill>
                    <w14:schemeClr w14:val="tx1"/>
                  </w14:solidFill>
                </w14:textFill>
              </w:rPr>
            </w:pPr>
            <w:r>
              <w:rPr>
                <w:rFonts w:hint="default" w:ascii="Times New Roman" w:hAnsi="Times New Roman" w:cs="Times New Roman"/>
                <w:b/>
                <w:bCs/>
                <w:color w:val="000000" w:themeColor="text1"/>
                <w:kern w:val="21"/>
                <w:sz w:val="24"/>
                <w:szCs w:val="24"/>
                <w:highlight w:val="none"/>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21"/>
                <w:sz w:val="24"/>
                <w:szCs w:val="24"/>
                <w:highlight w:val="none"/>
                <w14:textFill>
                  <w14:solidFill>
                    <w14:schemeClr w14:val="tx1"/>
                  </w14:solidFill>
                </w14:textFill>
              </w:rPr>
              <w:t>）风险源分布</w:t>
            </w:r>
          </w:p>
          <w:p w14:paraId="768E1986">
            <w:pPr>
              <w:keepLines w:val="0"/>
              <w:pageBreakBefore w:val="0"/>
              <w:kinsoku/>
              <w:bidi w:val="0"/>
              <w:snapToGrid/>
              <w:spacing w:beforeLines="0" w:afterLines="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本项目危险废物暂存于危险废物暂存间，危险废物暂存间位于生产车间内北侧。</w:t>
            </w:r>
          </w:p>
          <w:p w14:paraId="53221D8D">
            <w:pPr>
              <w:keepLines w:val="0"/>
              <w:pageBreakBefore w:val="0"/>
              <w:kinsoku/>
              <w:bidi w:val="0"/>
              <w:snapToGrid/>
              <w:spacing w:beforeLines="0" w:afterLines="0" w:line="360" w:lineRule="auto"/>
              <w:ind w:right="-26" w:firstLine="482" w:firstLineChars="200"/>
              <w:rPr>
                <w:rFonts w:hint="default" w:ascii="Times New Roman" w:hAnsi="Times New Roman" w:cs="Times New Roman"/>
                <w:b/>
                <w:bCs/>
                <w:color w:val="000000" w:themeColor="text1"/>
                <w:kern w:val="21"/>
                <w:sz w:val="24"/>
                <w:szCs w:val="24"/>
                <w:highlight w:val="none"/>
                <w14:textFill>
                  <w14:solidFill>
                    <w14:schemeClr w14:val="tx1"/>
                  </w14:solidFill>
                </w14:textFill>
              </w:rPr>
            </w:pPr>
            <w:r>
              <w:rPr>
                <w:rFonts w:hint="default" w:ascii="Times New Roman" w:hAnsi="Times New Roman" w:cs="Times New Roman"/>
                <w:b/>
                <w:bCs/>
                <w:color w:val="000000" w:themeColor="text1"/>
                <w:kern w:val="21"/>
                <w:sz w:val="24"/>
                <w:szCs w:val="24"/>
                <w:highlight w:val="none"/>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21"/>
                <w:sz w:val="24"/>
                <w:szCs w:val="24"/>
                <w:highlight w:val="none"/>
                <w14:textFill>
                  <w14:solidFill>
                    <w14:schemeClr w14:val="tx1"/>
                  </w14:solidFill>
                </w14:textFill>
              </w:rPr>
              <w:t>）可能影响途径</w:t>
            </w:r>
          </w:p>
          <w:p w14:paraId="3D90F062">
            <w:pPr>
              <w:keepLines w:val="0"/>
              <w:pageBreakBefore w:val="0"/>
              <w:kinsoku/>
              <w:bidi w:val="0"/>
              <w:snapToGrid/>
              <w:spacing w:beforeLines="0" w:afterLines="0" w:line="360" w:lineRule="auto"/>
              <w:ind w:right="-26" w:firstLine="480" w:firstLineChars="200"/>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废机油发生泄漏，污染地下水及土壤；</w:t>
            </w:r>
          </w:p>
          <w:p w14:paraId="04CBC3AA">
            <w:pPr>
              <w:keepLines w:val="0"/>
              <w:pageBreakBefore w:val="0"/>
              <w:kinsoku/>
              <w:bidi w:val="0"/>
              <w:snapToGrid/>
              <w:spacing w:beforeLines="0" w:afterLines="0" w:line="360" w:lineRule="auto"/>
              <w:ind w:right="-26" w:firstLine="480" w:firstLineChars="200"/>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废机油泄漏导致发生火灾事故时，废机油不完全燃烧，将产生大量的烟尘、CO和SO2等有害物质，发生火灾次生污染。</w:t>
            </w:r>
          </w:p>
          <w:p w14:paraId="124CBCD1">
            <w:pPr>
              <w:keepLines w:val="0"/>
              <w:pageBreakBefore w:val="0"/>
              <w:kinsoku/>
              <w:bidi w:val="0"/>
              <w:snapToGrid/>
              <w:spacing w:beforeLines="0" w:afterLines="0" w:line="360" w:lineRule="auto"/>
              <w:ind w:right="-26" w:firstLine="480" w:firstLineChars="200"/>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当发生火灾次生污染时，不断挥发有毒有害气体，将对周围大气环境造成严重影响，在不利气象条件下，可能造成下风向大范围内环境空气烟尘、CO和SO</w:t>
            </w:r>
            <w:r>
              <w:rPr>
                <w:rFonts w:hint="default" w:ascii="Times New Roman" w:hAnsi="Times New Roman" w:cs="Times New Roman"/>
                <w:color w:val="000000" w:themeColor="text1"/>
                <w:kern w:val="2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kern w:val="21"/>
                <w:sz w:val="24"/>
                <w:szCs w:val="24"/>
                <w:highlight w:val="none"/>
                <w:lang w:val="en-US" w:eastAsia="zh-CN"/>
                <w14:textFill>
                  <w14:solidFill>
                    <w14:schemeClr w14:val="tx1"/>
                  </w14:solidFill>
                </w14:textFill>
              </w:rPr>
              <w:t>浓度短期超标。</w:t>
            </w:r>
          </w:p>
          <w:p w14:paraId="7CEE1EEF">
            <w:pPr>
              <w:keepLines w:val="0"/>
              <w:pageBreakBefore w:val="0"/>
              <w:kinsoku/>
              <w:bidi w:val="0"/>
              <w:snapToGrid/>
              <w:spacing w:beforeLines="0" w:afterLines="0" w:line="360" w:lineRule="auto"/>
              <w:ind w:right="0" w:firstLine="482" w:firstLineChars="200"/>
              <w:jc w:val="both"/>
              <w:rPr>
                <w:rFonts w:hint="default" w:ascii="Times New Roman" w:hAnsi="Times New Roman" w:cs="Times New Roman"/>
                <w:b/>
                <w:bCs/>
                <w:color w:val="000000" w:themeColor="text1"/>
                <w:kern w:val="21"/>
                <w:sz w:val="24"/>
                <w:szCs w:val="24"/>
                <w:highlight w:val="none"/>
                <w14:textFill>
                  <w14:solidFill>
                    <w14:schemeClr w14:val="tx1"/>
                  </w14:solidFill>
                </w14:textFill>
              </w:rPr>
            </w:pPr>
            <w:r>
              <w:rPr>
                <w:rFonts w:hint="default" w:ascii="Times New Roman" w:hAnsi="Times New Roman" w:cs="Times New Roman"/>
                <w:b/>
                <w:bCs/>
                <w:color w:val="000000" w:themeColor="text1"/>
                <w:kern w:val="21"/>
                <w:sz w:val="24"/>
                <w:szCs w:val="24"/>
                <w:highlight w:val="none"/>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kern w:val="21"/>
                <w:sz w:val="24"/>
                <w:szCs w:val="24"/>
                <w:highlight w:val="none"/>
                <w14:textFill>
                  <w14:solidFill>
                    <w14:schemeClr w14:val="tx1"/>
                  </w14:solidFill>
                </w14:textFill>
              </w:rPr>
              <w:t>）环境风险防范措施及应急要求</w:t>
            </w:r>
          </w:p>
          <w:p w14:paraId="007AE493">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项目产生的危险废物应分别收集后采用专门的容器运送，容器及材质要满足相应的强度要求且须完好无损，且容器材质和衬里要与危险废物相容（不相互反应）。建设单位应设置专门的危废暂存点，用专门的收集箱或收集瓶进行分类存放，定期委托有资质的单位进行处置。</w:t>
            </w:r>
          </w:p>
          <w:p w14:paraId="35015FE3">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厂区分区防渗，重点防渗区域为危废暂存间。若发生事故，事故发现者马上通知当班领导。</w:t>
            </w:r>
          </w:p>
          <w:p w14:paraId="28E42B2F">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如泄漏的油品数量较少，则当班领导组织现场处置组对现场已泄漏的油品用沙土覆盖，待被充分吸收后将附有机油、废机油的沙土放至指定的场所进行专业处理。</w:t>
            </w:r>
          </w:p>
          <w:p w14:paraId="3496AA71">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对泄漏的油品数量较多时，应立即用沙土将泄漏的油品等团团围住，防止进一步外溢，并取来消防器材放至事故现场，做好警戒、疏散工作。</w:t>
            </w:r>
          </w:p>
          <w:p w14:paraId="6882711F">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危废废物必须与其他垃圾分开收集，并设立相应的标识和警示牌，危废间、生产车间都应做好防渗、防漏措施，并配备灭火器，指定专人进行严格管理，并建立相关档案。</w:t>
            </w:r>
          </w:p>
          <w:p w14:paraId="3D53A70A">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加强安全管理，建立完善的管理制度，严格禁止生产区吸烟。</w:t>
            </w:r>
          </w:p>
          <w:p w14:paraId="607BB57D">
            <w:pPr>
              <w:keepLines w:val="0"/>
              <w:pageBreakBefore w:val="0"/>
              <w:kinsoku/>
              <w:bidi w:val="0"/>
              <w:snapToGrid/>
              <w:spacing w:beforeLines="0" w:afterLines="0" w:line="360" w:lineRule="auto"/>
              <w:ind w:firstLine="480" w:firstLineChars="200"/>
              <w:jc w:val="both"/>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除此之外，项目存放危废的容器及位置均需粘贴符合《危险废物贮存污染控制标准》（</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GB 18597-2023</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）要求的标签，危废容器周围设置防护栅栏，并且应设有应急防护措施。如此，项目产生的危险固废经妥善存储、合理处置后，对外环境风险影响不大。</w:t>
            </w:r>
          </w:p>
          <w:p w14:paraId="571AF7CC">
            <w:pPr>
              <w:keepLines w:val="0"/>
              <w:pageBreakBefore w:val="0"/>
              <w:kinsoku/>
              <w:bidi w:val="0"/>
              <w:snapToGrid/>
              <w:spacing w:beforeLines="0" w:afterLines="0" w:line="360" w:lineRule="auto"/>
              <w:ind w:right="-26" w:firstLine="480" w:firstLineChars="200"/>
              <w:rPr>
                <w:rFonts w:hint="eastAsia" w:asciiTheme="majorEastAsia" w:hAnsiTheme="majorEastAsia" w:eastAsiaTheme="majorEastAsia" w:cstheme="majorEastAsia"/>
                <w:b w:val="0"/>
                <w:bCs w:val="0"/>
                <w:color w:val="000000" w:themeColor="text1"/>
                <w:kern w:val="21"/>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21"/>
                <w:sz w:val="24"/>
                <w:szCs w:val="24"/>
                <w:highlight w:val="none"/>
                <w14:textFill>
                  <w14:solidFill>
                    <w14:schemeClr w14:val="tx1"/>
                  </w14:solidFill>
                </w14:textFill>
              </w:rPr>
              <w:t>为保证企业及人民生命财产安全，防止突发性重大环境事故发生，或在发生事故时能迅速有序地开展救援工作，尽最大努力减少事故的危害和损失，企业应制定突发环境事件应急预案，并</w:t>
            </w:r>
            <w:r>
              <w:rPr>
                <w:rFonts w:hint="eastAsia" w:asciiTheme="majorEastAsia" w:hAnsiTheme="majorEastAsia" w:eastAsiaTheme="majorEastAsia" w:cstheme="majorEastAsia"/>
                <w:b w:val="0"/>
                <w:bCs w:val="0"/>
                <w:color w:val="000000" w:themeColor="text1"/>
                <w:kern w:val="21"/>
                <w:sz w:val="24"/>
                <w:szCs w:val="24"/>
                <w:highlight w:val="none"/>
                <w14:textFill>
                  <w14:solidFill>
                    <w14:schemeClr w14:val="tx1"/>
                  </w14:solidFill>
                </w14:textFill>
              </w:rPr>
              <w:t>组织专业队伍学习和演练，防患于未然，以便应急救援工作的顺利开展。企业突发环境事件应急预案的主要编制内容如下表所示。</w:t>
            </w:r>
          </w:p>
          <w:p w14:paraId="0ECE353A">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 xml:space="preserve">表4-22  </w:t>
            </w:r>
            <w:r>
              <w:rPr>
                <w:rFonts w:hint="eastAsia" w:asciiTheme="majorEastAsia" w:hAnsiTheme="majorEastAsia" w:eastAsiaTheme="majorEastAsia" w:cstheme="majorEastAsia"/>
                <w:b/>
                <w:bCs/>
                <w:color w:val="000000" w:themeColor="text1"/>
                <w:sz w:val="24"/>
                <w:szCs w:val="24"/>
                <w:highlight w:val="none"/>
                <w:lang w:val="zh-CN" w:eastAsia="zh-CN"/>
                <w14:textFill>
                  <w14:solidFill>
                    <w14:schemeClr w14:val="tx1"/>
                  </w14:solidFill>
                </w14:textFill>
              </w:rPr>
              <w:t>突发事件应急预案的主要编制内容</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89"/>
              <w:gridCol w:w="1570"/>
              <w:gridCol w:w="5766"/>
              <w:gridCol w:w="39"/>
            </w:tblGrid>
            <w:tr w14:paraId="539243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tcBorders>
                    <w:top w:val="single" w:color="auto" w:sz="12" w:space="0"/>
                  </w:tcBorders>
                  <w:noWrap w:val="0"/>
                  <w:vAlign w:val="center"/>
                </w:tcPr>
                <w:p w14:paraId="59EF367E">
                  <w:pPr>
                    <w:pStyle w:val="64"/>
                    <w:spacing w:before="157" w:beforeLines="50" w:afterLines="0" w:line="36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序号</w:t>
                  </w:r>
                </w:p>
              </w:tc>
              <w:tc>
                <w:tcPr>
                  <w:tcW w:w="973" w:type="pct"/>
                  <w:tcBorders>
                    <w:top w:val="single" w:color="auto" w:sz="12" w:space="0"/>
                    <w:right w:val="single" w:color="auto" w:sz="4" w:space="0"/>
                  </w:tcBorders>
                  <w:noWrap w:val="0"/>
                  <w:vAlign w:val="center"/>
                </w:tcPr>
                <w:p w14:paraId="08CCD363">
                  <w:pPr>
                    <w:pStyle w:val="64"/>
                    <w:spacing w:before="157" w:beforeLines="50" w:afterLines="0" w:line="36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3598" w:type="pct"/>
                  <w:gridSpan w:val="2"/>
                  <w:tcBorders>
                    <w:top w:val="single" w:color="auto" w:sz="12" w:space="0"/>
                    <w:left w:val="single" w:color="auto" w:sz="4" w:space="0"/>
                  </w:tcBorders>
                  <w:noWrap w:val="0"/>
                  <w:vAlign w:val="center"/>
                </w:tcPr>
                <w:p w14:paraId="6B19048C">
                  <w:pPr>
                    <w:pStyle w:val="64"/>
                    <w:spacing w:before="157" w:beforeLines="50" w:afterLines="0" w:line="36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内容及要求</w:t>
                  </w:r>
                </w:p>
              </w:tc>
            </w:tr>
            <w:tr w14:paraId="727DBB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gridAfter w:val="1"/>
                <w:wAfter w:w="24" w:type="pct"/>
                <w:trHeight w:val="90" w:hRule="atLeast"/>
                <w:jc w:val="center"/>
              </w:trPr>
              <w:tc>
                <w:tcPr>
                  <w:tcW w:w="427" w:type="pct"/>
                  <w:noWrap w:val="0"/>
                  <w:vAlign w:val="center"/>
                </w:tcPr>
                <w:p w14:paraId="52EC8D74">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973" w:type="pct"/>
                  <w:tcBorders>
                    <w:right w:val="single" w:color="auto" w:sz="4" w:space="0"/>
                  </w:tcBorders>
                  <w:noWrap w:val="0"/>
                  <w:vAlign w:val="center"/>
                </w:tcPr>
                <w:p w14:paraId="2D4E0FD2">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应急计划区</w:t>
                  </w:r>
                </w:p>
              </w:tc>
              <w:tc>
                <w:tcPr>
                  <w:tcW w:w="3574" w:type="pct"/>
                  <w:tcBorders>
                    <w:left w:val="single" w:color="auto" w:sz="4" w:space="0"/>
                  </w:tcBorders>
                  <w:noWrap w:val="0"/>
                  <w:vAlign w:val="center"/>
                </w:tcPr>
                <w:p w14:paraId="276F8456">
                  <w:pPr>
                    <w:pStyle w:val="64"/>
                    <w:spacing w:before="157" w:beforeLines="50" w:afterLines="0" w:line="360" w:lineRule="auto"/>
                    <w:ind w:firstLine="420" w:firstLineChars="20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确定应急计划区：危废暂存间、生产车间、原料库</w:t>
                  </w:r>
                </w:p>
              </w:tc>
            </w:tr>
            <w:tr w14:paraId="7E5FDC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gridAfter w:val="1"/>
                <w:wAfter w:w="24" w:type="pct"/>
                <w:trHeight w:val="90" w:hRule="atLeast"/>
                <w:jc w:val="center"/>
              </w:trPr>
              <w:tc>
                <w:tcPr>
                  <w:tcW w:w="427" w:type="pct"/>
                  <w:noWrap w:val="0"/>
                  <w:vAlign w:val="center"/>
                </w:tcPr>
                <w:p w14:paraId="1692A04F">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973" w:type="pct"/>
                  <w:tcBorders>
                    <w:right w:val="single" w:color="auto" w:sz="4" w:space="0"/>
                  </w:tcBorders>
                  <w:noWrap w:val="0"/>
                  <w:vAlign w:val="center"/>
                </w:tcPr>
                <w:p w14:paraId="709EBC8B">
                  <w:pPr>
                    <w:pStyle w:val="64"/>
                    <w:spacing w:before="157" w:beforeLines="50" w:afterLines="0" w:line="36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应急组织机构、人员</w:t>
                  </w:r>
                </w:p>
              </w:tc>
              <w:tc>
                <w:tcPr>
                  <w:tcW w:w="3574" w:type="pct"/>
                  <w:tcBorders>
                    <w:left w:val="single" w:color="auto" w:sz="4" w:space="0"/>
                  </w:tcBorders>
                  <w:noWrap w:val="0"/>
                  <w:vAlign w:val="center"/>
                </w:tcPr>
                <w:p w14:paraId="709711A4">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公司设置应急组织机构、人员。地区应急组织机构、人员。</w:t>
                  </w:r>
                </w:p>
              </w:tc>
            </w:tr>
            <w:tr w14:paraId="5071E6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3B715459">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973" w:type="pct"/>
                  <w:tcBorders>
                    <w:right w:val="single" w:color="auto" w:sz="4" w:space="0"/>
                  </w:tcBorders>
                  <w:noWrap w:val="0"/>
                  <w:vAlign w:val="center"/>
                </w:tcPr>
                <w:p w14:paraId="257B6918">
                  <w:pPr>
                    <w:pStyle w:val="64"/>
                    <w:spacing w:before="157" w:beforeLines="50" w:afterLines="0" w:line="36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预案分级响应条件</w:t>
                  </w:r>
                </w:p>
              </w:tc>
              <w:tc>
                <w:tcPr>
                  <w:tcW w:w="3598" w:type="pct"/>
                  <w:gridSpan w:val="2"/>
                  <w:tcBorders>
                    <w:left w:val="single" w:color="auto" w:sz="4" w:space="0"/>
                  </w:tcBorders>
                  <w:noWrap w:val="0"/>
                  <w:vAlign w:val="center"/>
                </w:tcPr>
                <w:p w14:paraId="35FF26CA">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根据事故的严重程度制定相应级别的应急预案，以及适合相应情况的处理措施</w:t>
                  </w:r>
                </w:p>
              </w:tc>
            </w:tr>
            <w:tr w14:paraId="7DCE37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6B79A814">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973" w:type="pct"/>
                  <w:tcBorders>
                    <w:right w:val="single" w:color="auto" w:sz="4" w:space="0"/>
                  </w:tcBorders>
                  <w:noWrap w:val="0"/>
                  <w:vAlign w:val="center"/>
                </w:tcPr>
                <w:p w14:paraId="6C0DF0F4">
                  <w:pPr>
                    <w:pStyle w:val="64"/>
                    <w:spacing w:before="157" w:beforeLines="50" w:afterLines="0" w:line="36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应急救援保障</w:t>
                  </w:r>
                </w:p>
              </w:tc>
              <w:tc>
                <w:tcPr>
                  <w:tcW w:w="3598" w:type="pct"/>
                  <w:gridSpan w:val="2"/>
                  <w:tcBorders>
                    <w:left w:val="single" w:color="auto" w:sz="4" w:space="0"/>
                  </w:tcBorders>
                  <w:noWrap w:val="0"/>
                  <w:vAlign w:val="center"/>
                </w:tcPr>
                <w:p w14:paraId="7C54F254">
                  <w:pPr>
                    <w:pStyle w:val="64"/>
                    <w:spacing w:before="157" w:beforeLines="50" w:afterLines="0" w:line="360" w:lineRule="auto"/>
                    <w:ind w:firstLine="420" w:firstLineChars="200"/>
                    <w:jc w:val="left"/>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应急设施，设备与器材等；</w:t>
                  </w:r>
                  <w:r>
                    <w:rPr>
                      <w:rFonts w:hint="eastAsia"/>
                      <w:color w:val="000000" w:themeColor="text1"/>
                      <w:sz w:val="21"/>
                      <w:szCs w:val="21"/>
                      <w:highlight w:val="none"/>
                      <w14:textFill>
                        <w14:solidFill>
                          <w14:schemeClr w14:val="tx1"/>
                        </w14:solidFill>
                      </w14:textFill>
                    </w:rPr>
                    <w:t>配备砂土、空桶、事故应急池等</w:t>
                  </w:r>
                </w:p>
              </w:tc>
            </w:tr>
            <w:tr w14:paraId="0390D2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50A5267D">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973" w:type="pct"/>
                  <w:tcBorders>
                    <w:right w:val="single" w:color="auto" w:sz="4" w:space="0"/>
                  </w:tcBorders>
                  <w:noWrap w:val="0"/>
                  <w:vAlign w:val="center"/>
                </w:tcPr>
                <w:p w14:paraId="18240AE4">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报警、通讯联络方式</w:t>
                  </w:r>
                </w:p>
              </w:tc>
              <w:tc>
                <w:tcPr>
                  <w:tcW w:w="3598" w:type="pct"/>
                  <w:gridSpan w:val="2"/>
                  <w:tcBorders>
                    <w:left w:val="single" w:color="auto" w:sz="4" w:space="0"/>
                  </w:tcBorders>
                  <w:noWrap w:val="0"/>
                  <w:vAlign w:val="center"/>
                </w:tcPr>
                <w:p w14:paraId="7827ACB3">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逐一细化应急状态下各主要负责单位的报警通讯方 式、地点、电话号码以及相关配套的交通保障、管制、消防联络方法，涉及跨区域的还应与相关区域</w:t>
                  </w:r>
                  <w:r>
                    <w:rPr>
                      <w:rFonts w:hint="eastAsia"/>
                      <w:color w:val="000000" w:themeColor="text1"/>
                      <w:sz w:val="21"/>
                      <w:szCs w:val="21"/>
                      <w:highlight w:val="none"/>
                      <w:lang w:val="en-US" w:eastAsia="zh-CN"/>
                      <w14:textFill>
                        <w14:solidFill>
                          <w14:schemeClr w14:val="tx1"/>
                        </w14:solidFill>
                      </w14:textFill>
                    </w:rPr>
                    <w:t>生态环境部门</w:t>
                  </w:r>
                  <w:r>
                    <w:rPr>
                      <w:rFonts w:hint="eastAsia"/>
                      <w:color w:val="000000" w:themeColor="text1"/>
                      <w:sz w:val="21"/>
                      <w:szCs w:val="21"/>
                      <w:highlight w:val="none"/>
                      <w14:textFill>
                        <w14:solidFill>
                          <w14:schemeClr w14:val="tx1"/>
                        </w14:solidFill>
                      </w14:textFill>
                    </w:rPr>
                    <w:t>和上级</w:t>
                  </w:r>
                  <w:r>
                    <w:rPr>
                      <w:rFonts w:hint="eastAsia"/>
                      <w:color w:val="000000" w:themeColor="text1"/>
                      <w:sz w:val="21"/>
                      <w:szCs w:val="21"/>
                      <w:highlight w:val="none"/>
                      <w:lang w:val="en-US" w:eastAsia="zh-CN"/>
                      <w14:textFill>
                        <w14:solidFill>
                          <w14:schemeClr w14:val="tx1"/>
                        </w14:solidFill>
                      </w14:textFill>
                    </w:rPr>
                    <w:t>生态环境部门</w:t>
                  </w:r>
                  <w:r>
                    <w:rPr>
                      <w:rFonts w:hint="eastAsia"/>
                      <w:color w:val="000000" w:themeColor="text1"/>
                      <w:sz w:val="21"/>
                      <w:szCs w:val="21"/>
                      <w:highlight w:val="none"/>
                      <w14:textFill>
                        <w14:solidFill>
                          <w14:schemeClr w14:val="tx1"/>
                        </w14:solidFill>
                      </w14:textFill>
                    </w:rPr>
                    <w:t>保持联系，及时通报事故处理情况，以获得区域性支援。</w:t>
                  </w:r>
                </w:p>
              </w:tc>
            </w:tr>
            <w:tr w14:paraId="77122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0E20D787">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973" w:type="pct"/>
                  <w:tcBorders>
                    <w:right w:val="single" w:color="auto" w:sz="4" w:space="0"/>
                  </w:tcBorders>
                  <w:noWrap w:val="0"/>
                  <w:vAlign w:val="center"/>
                </w:tcPr>
                <w:p w14:paraId="421631CE">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应急环境监测、抢险、救援及控制措施</w:t>
                  </w:r>
                </w:p>
              </w:tc>
              <w:tc>
                <w:tcPr>
                  <w:tcW w:w="3598" w:type="pct"/>
                  <w:gridSpan w:val="2"/>
                  <w:tcBorders>
                    <w:left w:val="single" w:color="auto" w:sz="4" w:space="0"/>
                  </w:tcBorders>
                  <w:noWrap w:val="0"/>
                  <w:vAlign w:val="center"/>
                </w:tcPr>
                <w:p w14:paraId="5E948715">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由专业队伍负责对事故现场进行侦察监测，对事故性质、 参数与后果进行评估，为指挥部门提供决策依据。</w:t>
                  </w:r>
                </w:p>
              </w:tc>
            </w:tr>
            <w:tr w14:paraId="540C36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3DE15103">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p>
              </w:tc>
              <w:tc>
                <w:tcPr>
                  <w:tcW w:w="973" w:type="pct"/>
                  <w:tcBorders>
                    <w:right w:val="single" w:color="auto" w:sz="4" w:space="0"/>
                  </w:tcBorders>
                  <w:noWrap w:val="0"/>
                  <w:vAlign w:val="center"/>
                </w:tcPr>
                <w:p w14:paraId="79188861">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应急检测、防护措施、清除泄漏措施和器材</w:t>
                  </w:r>
                </w:p>
              </w:tc>
              <w:tc>
                <w:tcPr>
                  <w:tcW w:w="3598" w:type="pct"/>
                  <w:gridSpan w:val="2"/>
                  <w:tcBorders>
                    <w:left w:val="single" w:color="auto" w:sz="4" w:space="0"/>
                  </w:tcBorders>
                  <w:noWrap w:val="0"/>
                  <w:vAlign w:val="center"/>
                </w:tcPr>
                <w:p w14:paraId="527AEA0C">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事故现场、邻近区域、控制防火区域，控制和清除污染措施及相应设备。</w:t>
                  </w:r>
                </w:p>
              </w:tc>
            </w:tr>
            <w:tr w14:paraId="7A98D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5496E752">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973" w:type="pct"/>
                  <w:tcBorders>
                    <w:right w:val="single" w:color="auto" w:sz="4" w:space="0"/>
                  </w:tcBorders>
                  <w:noWrap w:val="0"/>
                  <w:vAlign w:val="center"/>
                </w:tcPr>
                <w:p w14:paraId="58B45A03">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人员紧急撤离、疏散，应急剂量控制、撤离组织计划</w:t>
                  </w:r>
                </w:p>
              </w:tc>
              <w:tc>
                <w:tcPr>
                  <w:tcW w:w="3598" w:type="pct"/>
                  <w:gridSpan w:val="2"/>
                  <w:tcBorders>
                    <w:left w:val="single" w:color="auto" w:sz="4" w:space="0"/>
                  </w:tcBorders>
                  <w:noWrap w:val="0"/>
                  <w:vAlign w:val="center"/>
                </w:tcPr>
                <w:p w14:paraId="03C17A77">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事故现场、邻近区域、受事故影响的区域人员及公众对毒物应急剂量控制规定，制定紧急撤离组织计划和救护，医疗救护与公众健康。</w:t>
                  </w:r>
                </w:p>
              </w:tc>
            </w:tr>
            <w:tr w14:paraId="0648F4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1A1A088A">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w:t>
                  </w:r>
                </w:p>
              </w:tc>
              <w:tc>
                <w:tcPr>
                  <w:tcW w:w="973" w:type="pct"/>
                  <w:tcBorders>
                    <w:right w:val="single" w:color="auto" w:sz="4" w:space="0"/>
                  </w:tcBorders>
                  <w:noWrap w:val="0"/>
                  <w:vAlign w:val="center"/>
                </w:tcPr>
                <w:p w14:paraId="642D68A9">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事故应急救援关闭程序与恢复措施</w:t>
                  </w:r>
                </w:p>
              </w:tc>
              <w:tc>
                <w:tcPr>
                  <w:tcW w:w="3598" w:type="pct"/>
                  <w:gridSpan w:val="2"/>
                  <w:tcBorders>
                    <w:left w:val="single" w:color="auto" w:sz="4" w:space="0"/>
                  </w:tcBorders>
                  <w:noWrap w:val="0"/>
                  <w:vAlign w:val="center"/>
                </w:tcPr>
                <w:p w14:paraId="16844E4B">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规定应急状态终止程序；事故现场善后处理，恢复措施；邻近区域解除事故警戒及善后恢复措施。</w:t>
                  </w:r>
                </w:p>
              </w:tc>
            </w:tr>
            <w:tr w14:paraId="433A74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31397186">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c>
                <w:tcPr>
                  <w:tcW w:w="973" w:type="pct"/>
                  <w:tcBorders>
                    <w:right w:val="single" w:color="auto" w:sz="4" w:space="0"/>
                  </w:tcBorders>
                  <w:noWrap w:val="0"/>
                  <w:vAlign w:val="center"/>
                </w:tcPr>
                <w:p w14:paraId="10B5F490">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应急培训计划</w:t>
                  </w:r>
                </w:p>
              </w:tc>
              <w:tc>
                <w:tcPr>
                  <w:tcW w:w="3598" w:type="pct"/>
                  <w:gridSpan w:val="2"/>
                  <w:tcBorders>
                    <w:left w:val="single" w:color="auto" w:sz="4" w:space="0"/>
                  </w:tcBorders>
                  <w:noWrap w:val="0"/>
                  <w:vAlign w:val="center"/>
                </w:tcPr>
                <w:p w14:paraId="7514BA8D">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应急计划制定后，平时安排人员培训与演练</w:t>
                  </w:r>
                </w:p>
              </w:tc>
            </w:tr>
            <w:tr w14:paraId="3EB689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7" w:type="pct"/>
                  <w:noWrap w:val="0"/>
                  <w:vAlign w:val="center"/>
                </w:tcPr>
                <w:p w14:paraId="3A65AF88">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w:t>
                  </w:r>
                </w:p>
              </w:tc>
              <w:tc>
                <w:tcPr>
                  <w:tcW w:w="973" w:type="pct"/>
                  <w:tcBorders>
                    <w:right w:val="single" w:color="auto" w:sz="4" w:space="0"/>
                  </w:tcBorders>
                  <w:noWrap w:val="0"/>
                  <w:vAlign w:val="center"/>
                </w:tcPr>
                <w:p w14:paraId="322D59C0">
                  <w:pPr>
                    <w:pStyle w:val="64"/>
                    <w:spacing w:before="157" w:beforeLines="50" w:afterLines="0" w:line="36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公众教育和信息</w:t>
                  </w:r>
                </w:p>
              </w:tc>
              <w:tc>
                <w:tcPr>
                  <w:tcW w:w="3598" w:type="pct"/>
                  <w:gridSpan w:val="2"/>
                  <w:tcBorders>
                    <w:left w:val="single" w:color="auto" w:sz="4" w:space="0"/>
                  </w:tcBorders>
                  <w:noWrap w:val="0"/>
                  <w:vAlign w:val="center"/>
                </w:tcPr>
                <w:p w14:paraId="4E2C2898">
                  <w:pPr>
                    <w:pStyle w:val="64"/>
                    <w:spacing w:before="157" w:beforeLines="50" w:afterLines="0" w:line="36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对邻近地区开展公众教育、培训和发布有关信息</w:t>
                  </w:r>
                </w:p>
              </w:tc>
            </w:tr>
          </w:tbl>
          <w:p w14:paraId="1D862CCC">
            <w:pPr>
              <w:pStyle w:val="115"/>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在接到事故报警后，应迅速组织应急救援队，救援队在做好自身防护的基础上快速实施救援，控制事故发展，做好撤离、疏散、危险物的清除工作。等待急救队或外界的援助会使微小事故造</w:t>
            </w:r>
            <w:r>
              <w:rPr>
                <w:rFonts w:hint="eastAsia"/>
                <w:color w:val="000000" w:themeColor="text1"/>
                <w:szCs w:val="24"/>
                <w:highlight w:val="none"/>
                <w:lang w:eastAsia="zh-CN"/>
                <w14:textFill>
                  <w14:solidFill>
                    <w14:schemeClr w14:val="tx1"/>
                  </w14:solidFill>
                </w14:textFill>
              </w:rPr>
              <w:t>成重</w:t>
            </w:r>
            <w:r>
              <w:rPr>
                <w:rFonts w:hint="eastAsia"/>
                <w:color w:val="000000" w:themeColor="text1"/>
                <w:szCs w:val="24"/>
                <w:highlight w:val="none"/>
                <w14:textFill>
                  <w14:solidFill>
                    <w14:schemeClr w14:val="tx1"/>
                  </w14:solidFill>
                </w14:textFill>
              </w:rPr>
              <w:t>大灾难，因此每个人都应按应急计划接受基本培训，使其在发生事故时采取正确的行动。</w:t>
            </w:r>
          </w:p>
          <w:p w14:paraId="21ACAB90">
            <w:pPr>
              <w:pStyle w:val="115"/>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综上分析，建设单位严格执行以上措施后，本项目风险在可控的范围内，不会对周边环境造成影响。</w:t>
            </w:r>
          </w:p>
          <w:p w14:paraId="0DA5DDBF">
            <w:pPr>
              <w:keepLines w:val="0"/>
              <w:pageBreakBefore w:val="0"/>
              <w:kinsoku/>
              <w:bidi w:val="0"/>
              <w:snapToGrid/>
              <w:spacing w:beforeLines="0" w:afterLines="0" w:line="360" w:lineRule="auto"/>
              <w:ind w:right="-26" w:firstLine="482" w:firstLineChars="200"/>
              <w:rPr>
                <w:rFonts w:hint="default" w:ascii="Times New Roman" w:hAnsi="Times New Roman" w:cs="Times New Roman"/>
                <w:b/>
                <w:bCs/>
                <w:color w:val="000000" w:themeColor="text1"/>
                <w:kern w:val="21"/>
                <w:sz w:val="24"/>
                <w:szCs w:val="24"/>
                <w:highlight w:val="none"/>
                <w14:textFill>
                  <w14:solidFill>
                    <w14:schemeClr w14:val="tx1"/>
                  </w14:solidFill>
                </w14:textFill>
              </w:rPr>
            </w:pPr>
            <w:r>
              <w:rPr>
                <w:rFonts w:hint="default" w:ascii="Times New Roman" w:hAnsi="Times New Roman" w:cs="Times New Roman"/>
                <w:b/>
                <w:bCs/>
                <w:color w:val="000000" w:themeColor="text1"/>
                <w:kern w:val="21"/>
                <w:sz w:val="24"/>
                <w:szCs w:val="24"/>
                <w:highlight w:val="none"/>
                <w14:textFill>
                  <w14:solidFill>
                    <w14:schemeClr w14:val="tx1"/>
                  </w14:solidFill>
                </w14:textFill>
              </w:rPr>
              <w:t>（</w:t>
            </w:r>
            <w:r>
              <w:rPr>
                <w:rFonts w:hint="default" w:ascii="Times New Roman" w:hAnsi="Times New Roman" w:cs="Times New Roman"/>
                <w:b/>
                <w:bCs/>
                <w:color w:val="000000" w:themeColor="text1"/>
                <w:kern w:val="21"/>
                <w:sz w:val="24"/>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kern w:val="21"/>
                <w:sz w:val="24"/>
                <w:szCs w:val="24"/>
                <w:highlight w:val="none"/>
                <w14:textFill>
                  <w14:solidFill>
                    <w14:schemeClr w14:val="tx1"/>
                  </w14:solidFill>
                </w14:textFill>
              </w:rPr>
              <w:t>）分析结论</w:t>
            </w:r>
          </w:p>
          <w:p w14:paraId="4B353121">
            <w:pPr>
              <w:keepLines w:val="0"/>
              <w:pageBreakBefore w:val="0"/>
              <w:kinsoku/>
              <w:bidi w:val="0"/>
              <w:snapToGrid/>
              <w:spacing w:beforeLines="0" w:afterLines="0" w:line="360" w:lineRule="auto"/>
              <w:ind w:right="-26" w:firstLine="480" w:firstLineChars="200"/>
              <w:rPr>
                <w:rFonts w:hint="default" w:ascii="Times New Roman" w:hAnsi="Times New Roman" w:cs="Times New Roman"/>
                <w:color w:val="000000" w:themeColor="text1"/>
                <w:kern w:val="21"/>
                <w:sz w:val="24"/>
                <w:szCs w:val="24"/>
                <w:highlight w:val="none"/>
                <w14:textFill>
                  <w14:solidFill>
                    <w14:schemeClr w14:val="tx1"/>
                  </w14:solidFill>
                </w14:textFill>
              </w:rPr>
            </w:pPr>
            <w:r>
              <w:rPr>
                <w:rFonts w:hint="default" w:ascii="Times New Roman" w:hAnsi="Times New Roman" w:cs="Times New Roman"/>
                <w:color w:val="000000" w:themeColor="text1"/>
                <w:kern w:val="21"/>
                <w:sz w:val="24"/>
                <w:szCs w:val="24"/>
                <w:highlight w:val="none"/>
                <w14:textFill>
                  <w14:solidFill>
                    <w14:schemeClr w14:val="tx1"/>
                  </w14:solidFill>
                </w14:textFill>
              </w:rPr>
              <w:t>本项目环境风险较小，企业采取一定的环境风险防范措施，项目营运过程中要加强管理，遵守相应的规章制度。发生事故时如能严格落实本报告提出的各项防止环境污染的措施和要求，采取紧急的工程应急措施和社会应急措施，事故产生的影响是可以控制的。</w:t>
            </w:r>
          </w:p>
          <w:p w14:paraId="007615F2">
            <w:pPr>
              <w:keepNext w:val="0"/>
              <w:keepLines w:val="0"/>
              <w:pageBreakBefore w:val="0"/>
              <w:kinsoku/>
              <w:wordWrap/>
              <w:overflowPunct/>
              <w:bidi w:val="0"/>
              <w:adjustRightInd/>
              <w:snapToGrid/>
              <w:spacing w:beforeLines="0" w:afterLines="0" w:line="360" w:lineRule="auto"/>
              <w:ind w:firstLine="482" w:firstLineChars="200"/>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9、电磁辐射</w:t>
            </w:r>
          </w:p>
          <w:p w14:paraId="1DA8E365">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lang w:val="en-US" w:eastAsia="zh-CN"/>
                <w14:textFill>
                  <w14:solidFill>
                    <w14:schemeClr w14:val="tx1"/>
                  </w14:solidFill>
                </w14:textFill>
              </w:rPr>
              <w:t>本项目不涉及电磁辐射相关设备。</w:t>
            </w:r>
          </w:p>
          <w:p w14:paraId="6602F585">
            <w:pPr>
              <w:keepNext w:val="0"/>
              <w:keepLines w:val="0"/>
              <w:pageBreakBefore w:val="0"/>
              <w:kinsoku/>
              <w:wordWrap/>
              <w:overflowPunct/>
              <w:bidi w:val="0"/>
              <w:adjustRightInd/>
              <w:snapToGrid/>
              <w:spacing w:beforeLines="0" w:afterLines="0" w:line="360" w:lineRule="auto"/>
              <w:ind w:firstLine="482" w:firstLineChars="200"/>
              <w:rPr>
                <w:rFonts w:hint="default" w:ascii="Times New Roman" w:hAnsi="Times New Roman" w:eastAsia="宋体" w:cs="Times New Roman"/>
                <w:b/>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bCs/>
                <w:snapToGrid w:val="0"/>
                <w:color w:val="000000" w:themeColor="text1"/>
                <w:sz w:val="24"/>
                <w:szCs w:val="24"/>
                <w:highlight w:val="none"/>
                <w:lang w:eastAsia="zh-CN"/>
                <w14:textFill>
                  <w14:solidFill>
                    <w14:schemeClr w14:val="tx1"/>
                  </w14:solidFill>
                </w14:textFill>
              </w:rPr>
              <w:t>、排污口规范化管理</w:t>
            </w:r>
          </w:p>
          <w:p w14:paraId="4499B338">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根据《关于开展排放口规范化整治工作的通知》（环发</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1999</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24号），为进一步强化对污染源的现场监督管理及更好</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地</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落实污染物总量控制的要求，规定一切新建、扩建、改造和限期治理的排污单位必须在建设污染源治理实施的同时建设规范化排污口，并作为落实环境保护“三同时”制度的必要组成部分和项目验收内容之一。排污口规范化的技术要求如下：</w:t>
            </w:r>
          </w:p>
          <w:p w14:paraId="195CFACC">
            <w:pPr>
              <w:keepNext w:val="0"/>
              <w:keepLines w:val="0"/>
              <w:pageBreakBefore w:val="0"/>
              <w:kinsoku/>
              <w:wordWrap/>
              <w:overflowPunct/>
              <w:bidi w:val="0"/>
              <w:adjustRightInd/>
              <w:snapToGrid/>
              <w:spacing w:beforeLines="0" w:afterLines="0"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1）如实向</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生态环境</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管理部门申报所排放的主要污染物种类、数量、浓度、排放去向等情况。</w:t>
            </w:r>
          </w:p>
          <w:p w14:paraId="5C9100B9">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2）按照《</w:t>
            </w:r>
            <w:r>
              <w:rPr>
                <w:rFonts w:hint="eastAsia" w:cs="Times New Roman"/>
                <w:b w:val="0"/>
                <w:bCs w:val="0"/>
                <w:color w:val="000000" w:themeColor="text1"/>
                <w:sz w:val="24"/>
                <w:szCs w:val="24"/>
                <w:highlight w:val="none"/>
                <w:lang w:eastAsia="zh-CN"/>
                <w14:textFill>
                  <w14:solidFill>
                    <w14:schemeClr w14:val="tx1"/>
                  </w14:solidFill>
                </w14:textFill>
              </w:rPr>
              <w:t>环境保护图形标志-排放口（源）</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》（GB15562.1-1995）的规定，排放口应设置相应的环保图形标志牌。</w:t>
            </w:r>
          </w:p>
          <w:p w14:paraId="3A9E534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3）填写由</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w:t>
            </w:r>
            <w:r>
              <w:rPr>
                <w:rFonts w:hint="default" w:ascii="Times New Roman" w:hAnsi="Times New Roman" w:eastAsia="宋体" w:cs="Times New Roman"/>
                <w:color w:val="000000" w:themeColor="text1"/>
                <w:sz w:val="24"/>
                <w:szCs w:val="24"/>
                <w:highlight w:val="none"/>
                <w14:textFill>
                  <w14:solidFill>
                    <w14:schemeClr w14:val="tx1"/>
                  </w14:solidFill>
                </w14:textFill>
              </w:rPr>
              <w:t>国家环保总局统一印制的《中华人民共和国规范化排污口标志登记证》，并根据登记证的内容建立排污口管理档案。</w:t>
            </w:r>
          </w:p>
          <w:p w14:paraId="42472DA1">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4）规范化排污口有关设施属环境保护设施，企业要将其纳入本公司设备管理，并选派责任心强、有专业知识和技能的专业或兼职人员对排污口进行管理。</w:t>
            </w:r>
          </w:p>
          <w:p w14:paraId="4702BC8E">
            <w:pPr>
              <w:keepLines w:val="0"/>
              <w:pageBreakBefore w:val="0"/>
              <w:numPr>
                <w:ilvl w:val="0"/>
                <w:numId w:val="0"/>
              </w:numPr>
              <w:kinsoku/>
              <w:bidi w:val="0"/>
              <w:snapToGrid/>
              <w:spacing w:beforeLines="0" w:afterLines="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表4-</w:t>
            </w:r>
            <w:r>
              <w:rPr>
                <w:rFonts w:hint="eastAsia" w:cs="Times New Roman"/>
                <w:b/>
                <w:bCs/>
                <w:color w:val="000000" w:themeColor="text1"/>
                <w:kern w:val="0"/>
                <w:sz w:val="21"/>
                <w:szCs w:val="21"/>
                <w:highlight w:val="none"/>
                <w:lang w:val="en-US" w:eastAsia="zh-CN"/>
                <w14:textFill>
                  <w14:solidFill>
                    <w14:schemeClr w14:val="tx1"/>
                  </w14:solidFill>
                </w14:textFill>
              </w:rPr>
              <w:t>23</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 xml:space="preserve"> 排放口标志牌示例</w:t>
            </w:r>
          </w:p>
          <w:tbl>
            <w:tblPr>
              <w:tblStyle w:val="35"/>
              <w:tblW w:w="4999"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Layout w:type="autofit"/>
              <w:tblCellMar>
                <w:top w:w="57" w:type="dxa"/>
                <w:left w:w="108" w:type="dxa"/>
                <w:bottom w:w="0" w:type="dxa"/>
                <w:right w:w="108" w:type="dxa"/>
              </w:tblCellMar>
            </w:tblPr>
            <w:tblGrid>
              <w:gridCol w:w="1441"/>
              <w:gridCol w:w="1922"/>
              <w:gridCol w:w="4701"/>
            </w:tblGrid>
            <w:tr w14:paraId="1D0BEB1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57" w:type="dxa"/>
                  <w:left w:w="108" w:type="dxa"/>
                  <w:bottom w:w="0" w:type="dxa"/>
                  <w:right w:w="108" w:type="dxa"/>
                </w:tblCellMar>
              </w:tblPrEx>
              <w:trPr>
                <w:trHeight w:val="90" w:hRule="atLeast"/>
                <w:jc w:val="center"/>
              </w:trPr>
              <w:tc>
                <w:tcPr>
                  <w:tcW w:w="893" w:type="pct"/>
                  <w:tcBorders>
                    <w:tl2br w:val="nil"/>
                    <w:tr2bl w:val="nil"/>
                  </w:tcBorders>
                  <w:shd w:val="clear" w:color="auto" w:fill="auto"/>
                  <w:noWrap w:val="0"/>
                  <w:vAlign w:val="center"/>
                </w:tcPr>
                <w:p w14:paraId="70265275">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排放口名称</w:t>
                  </w:r>
                </w:p>
              </w:tc>
              <w:tc>
                <w:tcPr>
                  <w:tcW w:w="1191" w:type="pct"/>
                  <w:tcBorders>
                    <w:tl2br w:val="nil"/>
                    <w:tr2bl w:val="nil"/>
                  </w:tcBorders>
                  <w:shd w:val="clear" w:color="auto" w:fill="auto"/>
                  <w:noWrap w:val="0"/>
                  <w:vAlign w:val="center"/>
                </w:tcPr>
                <w:p w14:paraId="44FD651B">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图形标志</w:t>
                  </w:r>
                </w:p>
              </w:tc>
              <w:tc>
                <w:tcPr>
                  <w:tcW w:w="2914" w:type="pct"/>
                  <w:tcBorders>
                    <w:tl2br w:val="nil"/>
                    <w:tr2bl w:val="nil"/>
                  </w:tcBorders>
                  <w:shd w:val="clear" w:color="auto" w:fill="auto"/>
                  <w:noWrap w:val="0"/>
                  <w:vAlign w:val="center"/>
                </w:tcPr>
                <w:p w14:paraId="75F7B512">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要求</w:t>
                  </w:r>
                </w:p>
              </w:tc>
            </w:tr>
            <w:tr w14:paraId="2FC4219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57" w:type="dxa"/>
                  <w:left w:w="108" w:type="dxa"/>
                  <w:bottom w:w="0" w:type="dxa"/>
                  <w:right w:w="108" w:type="dxa"/>
                </w:tblCellMar>
              </w:tblPrEx>
              <w:trPr>
                <w:trHeight w:val="90" w:hRule="atLeast"/>
                <w:jc w:val="center"/>
              </w:trPr>
              <w:tc>
                <w:tcPr>
                  <w:tcW w:w="893" w:type="pct"/>
                  <w:tcBorders>
                    <w:tl2br w:val="nil"/>
                    <w:tr2bl w:val="nil"/>
                  </w:tcBorders>
                  <w:shd w:val="clear" w:color="auto" w:fill="auto"/>
                  <w:noWrap w:val="0"/>
                  <w:vAlign w:val="center"/>
                </w:tcPr>
                <w:p w14:paraId="31E53C47">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排气筒</w:t>
                  </w:r>
                </w:p>
              </w:tc>
              <w:tc>
                <w:tcPr>
                  <w:tcW w:w="1191" w:type="pct"/>
                  <w:tcBorders>
                    <w:tl2br w:val="nil"/>
                    <w:tr2bl w:val="nil"/>
                  </w:tcBorders>
                  <w:shd w:val="clear" w:color="auto" w:fill="auto"/>
                  <w:noWrap w:val="0"/>
                  <w:vAlign w:val="center"/>
                </w:tcPr>
                <w:p w14:paraId="0DC7026E">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drawing>
                      <wp:inline distT="0" distB="0" distL="114300" distR="114300">
                        <wp:extent cx="914400" cy="914400"/>
                        <wp:effectExtent l="0" t="0" r="10160" b="10160"/>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pic:cNvPicPr>
                              </pic:nvPicPr>
                              <pic:blipFill>
                                <a:blip r:embed="rId38"/>
                                <a:stretch>
                                  <a:fillRect/>
                                </a:stretch>
                              </pic:blipFill>
                              <pic:spPr>
                                <a:xfrm>
                                  <a:off x="0" y="0"/>
                                  <a:ext cx="914400" cy="914400"/>
                                </a:xfrm>
                                <a:prstGeom prst="rect">
                                  <a:avLst/>
                                </a:prstGeom>
                                <a:noFill/>
                                <a:ln>
                                  <a:noFill/>
                                </a:ln>
                              </pic:spPr>
                            </pic:pic>
                          </a:graphicData>
                        </a:graphic>
                      </wp:inline>
                    </w:drawing>
                  </w:r>
                </w:p>
              </w:tc>
              <w:tc>
                <w:tcPr>
                  <w:tcW w:w="2914" w:type="pct"/>
                  <w:vMerge w:val="restart"/>
                  <w:tcBorders>
                    <w:tl2br w:val="nil"/>
                    <w:tr2bl w:val="nil"/>
                  </w:tcBorders>
                  <w:shd w:val="clear" w:color="auto" w:fill="auto"/>
                  <w:noWrap w:val="0"/>
                  <w:vAlign w:val="center"/>
                </w:tcPr>
                <w:p w14:paraId="6780BFC3">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辅助标志内容：</w:t>
                  </w:r>
                </w:p>
                <w:p w14:paraId="0602A7DA">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（1）排放口标志名称；（2）单位名称；（3）编号；（4）污染物种类。</w:t>
                  </w:r>
                </w:p>
                <w:p w14:paraId="46C5A95B">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辅助标志</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字形</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：黑体字。</w:t>
                  </w:r>
                </w:p>
                <w:p w14:paraId="5A19B235">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标志牌尺寸：</w:t>
                  </w:r>
                </w:p>
                <w:p w14:paraId="48B9F6EA">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（1）提示标志：480×300mm；（2）警告标志：边长420mm。</w:t>
                  </w:r>
                </w:p>
                <w:p w14:paraId="7408833B">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标志牌材料：1.5~2mm冷轧钢板，表面采用搪瓷或反光贴膜。</w:t>
                  </w:r>
                </w:p>
              </w:tc>
            </w:tr>
            <w:tr w14:paraId="16593AE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57" w:type="dxa"/>
                  <w:left w:w="108" w:type="dxa"/>
                  <w:bottom w:w="0" w:type="dxa"/>
                  <w:right w:w="108" w:type="dxa"/>
                </w:tblCellMar>
              </w:tblPrEx>
              <w:trPr>
                <w:trHeight w:val="90" w:hRule="atLeast"/>
                <w:jc w:val="center"/>
              </w:trPr>
              <w:tc>
                <w:tcPr>
                  <w:tcW w:w="893" w:type="pct"/>
                  <w:tcBorders>
                    <w:tl2br w:val="nil"/>
                    <w:tr2bl w:val="nil"/>
                  </w:tcBorders>
                  <w:shd w:val="clear" w:color="auto" w:fill="auto"/>
                  <w:noWrap w:val="0"/>
                  <w:vAlign w:val="center"/>
                </w:tcPr>
                <w:p w14:paraId="6AFB0DF3">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噪声源</w:t>
                  </w:r>
                </w:p>
              </w:tc>
              <w:tc>
                <w:tcPr>
                  <w:tcW w:w="1191" w:type="pct"/>
                  <w:tcBorders>
                    <w:tl2br w:val="nil"/>
                    <w:tr2bl w:val="nil"/>
                  </w:tcBorders>
                  <w:shd w:val="clear" w:color="auto" w:fill="auto"/>
                  <w:noWrap w:val="0"/>
                  <w:vAlign w:val="center"/>
                </w:tcPr>
                <w:p w14:paraId="54EF08F7">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snapToGrid w:val="0"/>
                      <w:color w:val="000000" w:themeColor="text1"/>
                      <w:sz w:val="21"/>
                      <w:szCs w:val="21"/>
                      <w:highlight w:val="none"/>
                      <w:lang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932180" cy="932180"/>
                        <wp:effectExtent l="0" t="0" r="10160" b="1016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39"/>
                                <a:stretch>
                                  <a:fillRect/>
                                </a:stretch>
                              </pic:blipFill>
                              <pic:spPr>
                                <a:xfrm>
                                  <a:off x="0" y="0"/>
                                  <a:ext cx="932180" cy="932180"/>
                                </a:xfrm>
                                <a:prstGeom prst="rect">
                                  <a:avLst/>
                                </a:prstGeom>
                                <a:noFill/>
                                <a:ln>
                                  <a:noFill/>
                                </a:ln>
                              </pic:spPr>
                            </pic:pic>
                          </a:graphicData>
                        </a:graphic>
                      </wp:inline>
                    </w:drawing>
                  </w:r>
                </w:p>
              </w:tc>
              <w:tc>
                <w:tcPr>
                  <w:tcW w:w="2914" w:type="pct"/>
                  <w:vMerge w:val="continue"/>
                  <w:tcBorders>
                    <w:tl2br w:val="nil"/>
                    <w:tr2bl w:val="nil"/>
                  </w:tcBorders>
                  <w:shd w:val="clear" w:color="auto" w:fill="auto"/>
                  <w:noWrap w:val="0"/>
                  <w:vAlign w:val="center"/>
                </w:tcPr>
                <w:p w14:paraId="3AE9FEA0">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r>
            <w:tr w14:paraId="5A7BCE5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57" w:type="dxa"/>
                  <w:left w:w="108" w:type="dxa"/>
                  <w:bottom w:w="0" w:type="dxa"/>
                  <w:right w:w="108" w:type="dxa"/>
                </w:tblCellMar>
              </w:tblPrEx>
              <w:trPr>
                <w:trHeight w:val="90" w:hRule="atLeast"/>
                <w:jc w:val="center"/>
              </w:trPr>
              <w:tc>
                <w:tcPr>
                  <w:tcW w:w="893" w:type="pct"/>
                  <w:tcBorders>
                    <w:tl2br w:val="nil"/>
                    <w:tr2bl w:val="nil"/>
                  </w:tcBorders>
                  <w:shd w:val="clear" w:color="auto" w:fill="auto"/>
                  <w:noWrap w:val="0"/>
                  <w:vAlign w:val="center"/>
                </w:tcPr>
                <w:p w14:paraId="7A3B1A1E">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一般工业固废</w:t>
                  </w:r>
                </w:p>
              </w:tc>
              <w:tc>
                <w:tcPr>
                  <w:tcW w:w="1191" w:type="pct"/>
                  <w:tcBorders>
                    <w:tl2br w:val="nil"/>
                    <w:tr2bl w:val="nil"/>
                  </w:tcBorders>
                  <w:shd w:val="clear" w:color="auto" w:fill="auto"/>
                  <w:noWrap w:val="0"/>
                  <w:vAlign w:val="center"/>
                </w:tcPr>
                <w:p w14:paraId="563E1763">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lang w:bidi="mn-Mong-CN"/>
                      <w14:textFill>
                        <w14:solidFill>
                          <w14:schemeClr w14:val="tx1"/>
                        </w14:solidFill>
                      </w14:textFill>
                    </w:rPr>
                    <w:drawing>
                      <wp:inline distT="0" distB="0" distL="114300" distR="114300">
                        <wp:extent cx="1031240" cy="861695"/>
                        <wp:effectExtent l="0" t="0" r="0" b="9525"/>
                        <wp:docPr id="28" name="图片 47" descr="一般固废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一般固废提示标志"/>
                                <pic:cNvPicPr>
                                  <a:picLocks noChangeAspect="1"/>
                                </pic:cNvPicPr>
                              </pic:nvPicPr>
                              <pic:blipFill>
                                <a:blip r:embed="rId40"/>
                                <a:stretch>
                                  <a:fillRect/>
                                </a:stretch>
                              </pic:blipFill>
                              <pic:spPr>
                                <a:xfrm>
                                  <a:off x="0" y="0"/>
                                  <a:ext cx="1031240" cy="861695"/>
                                </a:xfrm>
                                <a:prstGeom prst="rect">
                                  <a:avLst/>
                                </a:prstGeom>
                                <a:noFill/>
                                <a:ln>
                                  <a:noFill/>
                                </a:ln>
                              </pic:spPr>
                            </pic:pic>
                          </a:graphicData>
                        </a:graphic>
                      </wp:inline>
                    </w:drawing>
                  </w:r>
                </w:p>
              </w:tc>
              <w:tc>
                <w:tcPr>
                  <w:tcW w:w="2914" w:type="pct"/>
                  <w:vMerge w:val="continue"/>
                  <w:tcBorders>
                    <w:tl2br w:val="nil"/>
                    <w:tr2bl w:val="nil"/>
                  </w:tcBorders>
                  <w:shd w:val="clear" w:color="auto" w:fill="auto"/>
                  <w:noWrap w:val="0"/>
                  <w:vAlign w:val="center"/>
                </w:tcPr>
                <w:p w14:paraId="6D4C9413">
                  <w:pPr>
                    <w:keepNext w:val="0"/>
                    <w:keepLines w:val="0"/>
                    <w:pageBreakBefore w:val="0"/>
                    <w:kinsoku/>
                    <w:wordWrap/>
                    <w:overflowPunct/>
                    <w:bidi w:val="0"/>
                    <w:adjustRightInd/>
                    <w:snapToGrid/>
                    <w:spacing w:before="157" w:beforeLines="50" w:afterLines="0" w:line="360" w:lineRule="auto"/>
                    <w:ind w:firstLine="440" w:firstLineChars="200"/>
                    <w:jc w:val="both"/>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r>
            <w:tr w14:paraId="75E4EF0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57" w:type="dxa"/>
                  <w:left w:w="108" w:type="dxa"/>
                  <w:bottom w:w="0" w:type="dxa"/>
                  <w:right w:w="108" w:type="dxa"/>
                </w:tblCellMar>
              </w:tblPrEx>
              <w:trPr>
                <w:trHeight w:val="90" w:hRule="atLeast"/>
                <w:jc w:val="center"/>
              </w:trPr>
              <w:tc>
                <w:tcPr>
                  <w:tcW w:w="893" w:type="pct"/>
                  <w:tcBorders>
                    <w:tl2br w:val="nil"/>
                    <w:tr2bl w:val="nil"/>
                  </w:tcBorders>
                  <w:shd w:val="clear" w:color="auto" w:fill="auto"/>
                  <w:noWrap w:val="0"/>
                  <w:vAlign w:val="center"/>
                </w:tcPr>
                <w:p w14:paraId="6C003195">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危险固废</w:t>
                  </w:r>
                </w:p>
              </w:tc>
              <w:tc>
                <w:tcPr>
                  <w:tcW w:w="1191" w:type="pct"/>
                  <w:tcBorders>
                    <w:tl2br w:val="nil"/>
                    <w:tr2bl w:val="nil"/>
                  </w:tcBorders>
                  <w:shd w:val="clear" w:color="auto" w:fill="auto"/>
                  <w:noWrap w:val="0"/>
                  <w:vAlign w:val="center"/>
                </w:tcPr>
                <w:p w14:paraId="3FA3A2FA">
                  <w:pPr>
                    <w:spacing w:before="157" w:beforeLines="50" w:afterLines="0"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drawing>
                      <wp:inline distT="0" distB="0" distL="114300" distR="114300">
                        <wp:extent cx="842010" cy="845820"/>
                        <wp:effectExtent l="0" t="0" r="15240" b="1143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41"/>
                                <a:stretch>
                                  <a:fillRect/>
                                </a:stretch>
                              </pic:blipFill>
                              <pic:spPr>
                                <a:xfrm>
                                  <a:off x="0" y="0"/>
                                  <a:ext cx="842010" cy="845820"/>
                                </a:xfrm>
                                <a:prstGeom prst="rect">
                                  <a:avLst/>
                                </a:prstGeom>
                                <a:noFill/>
                                <a:ln>
                                  <a:noFill/>
                                </a:ln>
                              </pic:spPr>
                            </pic:pic>
                          </a:graphicData>
                        </a:graphic>
                      </wp:inline>
                    </w:drawing>
                  </w:r>
                </w:p>
                <w:p w14:paraId="706A4DD3">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drawing>
                      <wp:inline distT="0" distB="0" distL="114300" distR="114300">
                        <wp:extent cx="1054100" cy="654685"/>
                        <wp:effectExtent l="0" t="0" r="12700" b="317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2"/>
                                <a:stretch>
                                  <a:fillRect/>
                                </a:stretch>
                              </pic:blipFill>
                              <pic:spPr>
                                <a:xfrm>
                                  <a:off x="0" y="0"/>
                                  <a:ext cx="1054100" cy="654685"/>
                                </a:xfrm>
                                <a:prstGeom prst="rect">
                                  <a:avLst/>
                                </a:prstGeom>
                                <a:noFill/>
                                <a:ln>
                                  <a:noFill/>
                                </a:ln>
                              </pic:spPr>
                            </pic:pic>
                          </a:graphicData>
                        </a:graphic>
                      </wp:inline>
                    </w:drawing>
                  </w:r>
                </w:p>
              </w:tc>
              <w:tc>
                <w:tcPr>
                  <w:tcW w:w="2914" w:type="pct"/>
                  <w:vMerge w:val="continue"/>
                  <w:tcBorders>
                    <w:tl2br w:val="nil"/>
                    <w:tr2bl w:val="nil"/>
                  </w:tcBorders>
                  <w:shd w:val="clear" w:color="auto" w:fill="auto"/>
                  <w:noWrap w:val="0"/>
                  <w:vAlign w:val="center"/>
                </w:tcPr>
                <w:p w14:paraId="5B0FF7C6">
                  <w:pPr>
                    <w:keepNext w:val="0"/>
                    <w:keepLines w:val="0"/>
                    <w:pageBreakBefore w:val="0"/>
                    <w:kinsoku/>
                    <w:wordWrap/>
                    <w:overflowPunct/>
                    <w:bidi w:val="0"/>
                    <w:adjustRightInd/>
                    <w:snapToGrid/>
                    <w:spacing w:before="157" w:beforeLines="50" w:afterLines="0" w:line="360" w:lineRule="auto"/>
                    <w:jc w:val="cente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pPr>
                </w:p>
              </w:tc>
            </w:tr>
          </w:tbl>
          <w:p w14:paraId="0E255986">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5）排污口立标</w:t>
            </w:r>
          </w:p>
          <w:p w14:paraId="34BF2317">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环境保护图形标志牌按原国家环保总局统一规范要求定点制作，各建设单位排污口分布图由环境监理部门统一绘制。排放一般污染物排污口（源），设置提示式标志牌，排放有毒有害等污染物的排污口设置警告式标志牌。</w:t>
            </w:r>
          </w:p>
          <w:p w14:paraId="15289A4C">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①污染物排放口的环保图形标志牌应设置在排污口（采样点）附近且醒目处，高度为标志牌上缘离地面约2m。</w:t>
            </w:r>
          </w:p>
          <w:p w14:paraId="0DBCBEDF">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②排污口附近1m范围内有建筑物的，设平面式标志牌，无建筑物的设立式标志牌。一般排污单位的污染物排放口，可根据情况设置立式或平面固定式标志牌。</w:t>
            </w:r>
          </w:p>
          <w:p w14:paraId="41755CDA">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③规范化排污口的有关设置（如图形标志牌、计量装置、监控装置等）属于环保设施，排污单位必须负责日常的维护保养，任何单位和个人不得擅自拆除，如需要变更的需报环境监管部门同意并办理相关变更手续。</w:t>
            </w:r>
          </w:p>
          <w:p w14:paraId="05F7EE43">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）排污口管理</w:t>
            </w:r>
          </w:p>
          <w:p w14:paraId="25EE2D34">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①管理原则</w:t>
            </w:r>
          </w:p>
          <w:p w14:paraId="0557FA54">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排污口是企业污染物进入环境，污染环境的通道，强化排污口的管理是实施污染物总量控制的基础工作之一，也是区域环境管理逐步实现污染物排放科学化、定量化的重要手段。</w:t>
            </w:r>
          </w:p>
          <w:p w14:paraId="0C49420E">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具体管理原则如下：</w:t>
            </w:r>
          </w:p>
          <w:p w14:paraId="50A42D6C">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a、向环境排放的污染物的排放口必须规范化。</w:t>
            </w:r>
          </w:p>
          <w:p w14:paraId="78F99764">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b、列入总量控制的污染物排放源列为管理的重点。</w:t>
            </w:r>
          </w:p>
          <w:p w14:paraId="71EAE1E9">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c、如实向环保管理部门申报排污口数量、位置及所排放的主要污染物种类、数量、浓度、排放去向等情况。</w:t>
            </w:r>
          </w:p>
          <w:p w14:paraId="7523957F">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d、废气排气装置应设置便于采样、监测的采样孔和采样平台，设置应符合《污染源监测技术规范》。</w:t>
            </w:r>
          </w:p>
          <w:p w14:paraId="61EE49E2">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e、工程固废堆存时，应设置专用堆放场地，并有防扬散、防流失、对有毒有害固废采取防渗漏措施。</w:t>
            </w:r>
          </w:p>
          <w:p w14:paraId="56E86F10">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②排放源建档</w:t>
            </w:r>
          </w:p>
          <w:p w14:paraId="5071FC27">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a、本项目应使用国家环保局统一印制的《中华人民共和国规范化排污口标志登记证》，并按要求填写有关内容。</w:t>
            </w:r>
          </w:p>
          <w:p w14:paraId="49FA2195">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b、根据排污口管理内容要求，项目建成投产后，应将主要污染物种类、数量、浓度、排放去向，立标情况及设施运行情况记录于档案。</w:t>
            </w:r>
          </w:p>
          <w:p w14:paraId="68BDCDEE">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0" w:firstLineChars="200"/>
              <w:jc w:val="left"/>
              <w:textAlignment w:val="baseline"/>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第一类为一般固体废物，主要为生活垃圾等；第二类为危险废物，主要为废机油、废机油桶、废含油棉纱及手套等。</w:t>
            </w:r>
          </w:p>
          <w:p w14:paraId="1254ADB5">
            <w:pPr>
              <w:keepNext w:val="0"/>
              <w:keepLines w:val="0"/>
              <w:pageBreakBefore w:val="0"/>
              <w:widowControl/>
              <w:kinsoku/>
              <w:wordWrap/>
              <w:overflowPunct/>
              <w:topLinePunct w:val="0"/>
              <w:autoSpaceDE/>
              <w:autoSpaceDN/>
              <w:bidi w:val="0"/>
              <w:adjustRightInd/>
              <w:snapToGrid/>
              <w:spacing w:beforeLines="0" w:beforeAutospacing="0" w:afterLines="0" w:afterAutospacing="0" w:line="360" w:lineRule="auto"/>
              <w:ind w:firstLine="482" w:firstLineChars="200"/>
              <w:jc w:val="left"/>
              <w:textAlignment w:val="baseline"/>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、环境管理</w:t>
            </w:r>
          </w:p>
          <w:p w14:paraId="41365BF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w:t>
            </w: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w:t>
            </w:r>
          </w:p>
          <w:p w14:paraId="4DF72F6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1）根据国家环保政策、标准及环境监测要求，制定该项目运行期环保管理规章制度、各种污染物排放控制指标；</w:t>
            </w:r>
          </w:p>
          <w:p w14:paraId="5E729B6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2）负责该项目内所有环保设施的日常运行管理，保障各环保设施的正常运行，并对环保设施的改进提出积极的建议；</w:t>
            </w:r>
          </w:p>
          <w:p w14:paraId="1A697DD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3）负责该项目运行期环境监测工作，及时掌握该项目污染状况，整理监测数据，建立污染源档案；</w:t>
            </w:r>
          </w:p>
          <w:p w14:paraId="0F4FA08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4）该项目运行期的环境管理由安全生产环保科承担；负责该项目内所有环保设施的日常运行管理，保障各环保设施的正常运行，并对环保设施的改进提出积极的建议；</w:t>
            </w:r>
          </w:p>
          <w:p w14:paraId="09D9DF7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）负责对职工进行环保宣传教育工作，以及检查、监督各单位环保制度的执行情况；</w:t>
            </w:r>
          </w:p>
          <w:p w14:paraId="5144024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）建立健全环境档案管理与保密制度、污染防治设施设计技术改进及运行资料、污染源调查技术档案、环境监测及评价资料、项目平面图等。</w:t>
            </w:r>
          </w:p>
          <w:p w14:paraId="224671A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）按标准设置污染标识，做到各排污口（源）的环保标志明显，便于企业管理和公众监督。</w:t>
            </w:r>
          </w:p>
          <w:p w14:paraId="54BED40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）项目建设单位应委托有资质的环境监测单位定期开展监测；</w:t>
            </w:r>
          </w:p>
          <w:p w14:paraId="6134408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Cs/>
                <w:snapToGrid w:val="0"/>
                <w:color w:val="000000" w:themeColor="text1"/>
                <w:sz w:val="24"/>
                <w:szCs w:val="24"/>
                <w:highlight w:val="none"/>
                <w:lang w:eastAsia="zh-CN"/>
                <w14:textFill>
                  <w14:solidFill>
                    <w14:schemeClr w14:val="tx1"/>
                  </w14:solidFill>
                </w14:textFill>
              </w:rPr>
              <w:t>）监测中</w:t>
            </w:r>
            <w:r>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t>发现超标排放或其他异常情况，及时报告企业环保管理部门查找原因、解决处理，遇有特殊情况时应随时监测。</w:t>
            </w:r>
          </w:p>
          <w:p w14:paraId="49FF3305">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ascii="Times New Roman" w:hAnsi="Times New Roman" w:eastAsia="宋体" w:cs="Times New Roman"/>
                <w:b/>
                <w:bCs w:val="0"/>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snapToGrid w:val="0"/>
                <w:color w:val="000000" w:themeColor="text1"/>
                <w:sz w:val="24"/>
                <w:szCs w:val="24"/>
                <w:highlight w:val="none"/>
                <w:lang w:val="en-US" w:eastAsia="zh-CN"/>
                <w14:textFill>
                  <w14:solidFill>
                    <w14:schemeClr w14:val="tx1"/>
                  </w14:solidFill>
                </w14:textFill>
              </w:rPr>
              <w:t>12、项目环保投资估算</w:t>
            </w:r>
          </w:p>
          <w:p w14:paraId="607F391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t>本项目总投资</w:t>
            </w:r>
            <w:r>
              <w:rPr>
                <w:rFonts w:hint="default" w:ascii="Times New Roman" w:hAnsi="Times New Roman" w:cs="Times New Roman"/>
                <w:b w:val="0"/>
                <w:bCs/>
                <w:snapToGrid w:val="0"/>
                <w:color w:val="000000" w:themeColor="text1"/>
                <w:sz w:val="24"/>
                <w:szCs w:val="24"/>
                <w:highlight w:val="none"/>
                <w:lang w:val="en-US" w:eastAsia="zh-CN"/>
                <w14:textFill>
                  <w14:solidFill>
                    <w14:schemeClr w14:val="tx1"/>
                  </w14:solidFill>
                </w14:textFill>
              </w:rPr>
              <w:t>1500</w:t>
            </w:r>
            <w:r>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t>万元，其中环保投资</w:t>
            </w:r>
            <w:r>
              <w:rPr>
                <w:rFonts w:hint="eastAsia" w:cs="Times New Roman"/>
                <w:b w:val="0"/>
                <w:bCs/>
                <w:snapToGrid w:val="0"/>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t>万元，环保投资占投资总额的</w:t>
            </w:r>
            <w:r>
              <w:rPr>
                <w:rFonts w:hint="eastAsia" w:cs="Times New Roman"/>
                <w:b w:val="0"/>
                <w:bCs/>
                <w:snapToGrid w:val="0"/>
                <w:color w:val="000000" w:themeColor="text1"/>
                <w:sz w:val="24"/>
                <w:szCs w:val="24"/>
                <w:highlight w:val="none"/>
                <w:lang w:val="en-US" w:eastAsia="zh-CN"/>
                <w14:textFill>
                  <w14:solidFill>
                    <w14:schemeClr w14:val="tx1"/>
                  </w14:solidFill>
                </w14:textFill>
              </w:rPr>
              <w:t>2.87</w:t>
            </w:r>
            <w:r>
              <w:rPr>
                <w:rFonts w:hint="default" w:ascii="Times New Roman" w:hAnsi="Times New Roman" w:eastAsia="宋体" w:cs="Times New Roman"/>
                <w:b w:val="0"/>
                <w:bCs/>
                <w:snapToGrid w:val="0"/>
                <w:color w:val="000000" w:themeColor="text1"/>
                <w:sz w:val="24"/>
                <w:szCs w:val="24"/>
                <w:highlight w:val="none"/>
                <w:lang w:eastAsia="zh-CN"/>
                <w14:textFill>
                  <w14:solidFill>
                    <w14:schemeClr w14:val="tx1"/>
                  </w14:solidFill>
                </w14:textFill>
              </w:rPr>
              <w:t>%，运营期环保治理措施及环保投资见下表：</w:t>
            </w:r>
          </w:p>
          <w:p w14:paraId="27D17ADD">
            <w:pPr>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snapToGrid w:val="0"/>
                <w:color w:val="000000" w:themeColor="text1"/>
                <w:sz w:val="21"/>
                <w:szCs w:val="21"/>
                <w:highlight w:val="none"/>
                <w:lang w:val="en-US" w:eastAsia="zh-CN"/>
                <w14:textFill>
                  <w14:solidFill>
                    <w14:schemeClr w14:val="tx1"/>
                  </w14:solidFill>
                </w14:textFill>
              </w:rPr>
              <w:t>表4</w:t>
            </w:r>
            <w:r>
              <w:rPr>
                <w:rFonts w:hint="eastAsia" w:cs="Times New Roman"/>
                <w:b/>
                <w:bCs w:val="0"/>
                <w:snapToGrid w:val="0"/>
                <w:color w:val="000000" w:themeColor="text1"/>
                <w:sz w:val="21"/>
                <w:szCs w:val="21"/>
                <w:highlight w:val="none"/>
                <w:lang w:val="en-US" w:eastAsia="zh-CN"/>
                <w14:textFill>
                  <w14:solidFill>
                    <w14:schemeClr w14:val="tx1"/>
                  </w14:solidFill>
                </w14:textFill>
              </w:rPr>
              <w:t>-24</w:t>
            </w:r>
            <w:r>
              <w:rPr>
                <w:rFonts w:hint="default" w:ascii="Times New Roman" w:hAnsi="Times New Roman" w:cs="Times New Roman"/>
                <w:b/>
                <w:bCs w:val="0"/>
                <w:snapToGrid w:val="0"/>
                <w:color w:val="000000" w:themeColor="text1"/>
                <w:sz w:val="21"/>
                <w:szCs w:val="21"/>
                <w:highlight w:val="none"/>
                <w:lang w:val="en-US" w:eastAsia="zh-CN"/>
                <w14:textFill>
                  <w14:solidFill>
                    <w14:schemeClr w14:val="tx1"/>
                  </w14:solidFill>
                </w14:textFill>
              </w:rPr>
              <w:t xml:space="preserve">  环保投资表</w:t>
            </w:r>
          </w:p>
          <w:tbl>
            <w:tblPr>
              <w:tblStyle w:val="3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341"/>
              <w:gridCol w:w="418"/>
              <w:gridCol w:w="820"/>
              <w:gridCol w:w="5578"/>
              <w:gridCol w:w="907"/>
            </w:tblGrid>
            <w:tr w14:paraId="2BDE89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jc w:val="center"/>
              </w:trPr>
              <w:tc>
                <w:tcPr>
                  <w:tcW w:w="212" w:type="pct"/>
                  <w:vMerge w:val="restart"/>
                  <w:tcBorders>
                    <w:tl2br w:val="nil"/>
                    <w:tr2bl w:val="nil"/>
                  </w:tcBorders>
                  <w:shd w:val="clear" w:color="auto" w:fill="auto"/>
                  <w:noWrap w:val="0"/>
                  <w:tcMar>
                    <w:top w:w="15" w:type="dxa"/>
                    <w:left w:w="15" w:type="dxa"/>
                    <w:right w:w="15" w:type="dxa"/>
                  </w:tcMar>
                  <w:vAlign w:val="center"/>
                </w:tcPr>
                <w:p w14:paraId="721D0288">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时序</w:t>
                  </w:r>
                </w:p>
              </w:tc>
              <w:tc>
                <w:tcPr>
                  <w:tcW w:w="259" w:type="pct"/>
                  <w:vMerge w:val="restart"/>
                  <w:tcBorders>
                    <w:tl2br w:val="nil"/>
                    <w:tr2bl w:val="nil"/>
                  </w:tcBorders>
                  <w:shd w:val="clear" w:color="auto" w:fill="auto"/>
                  <w:noWrap w:val="0"/>
                  <w:tcMar>
                    <w:top w:w="15" w:type="dxa"/>
                    <w:left w:w="15" w:type="dxa"/>
                    <w:right w:w="15" w:type="dxa"/>
                  </w:tcMar>
                  <w:vAlign w:val="center"/>
                </w:tcPr>
                <w:p w14:paraId="1F3883FB">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类型</w:t>
                  </w:r>
                </w:p>
              </w:tc>
              <w:tc>
                <w:tcPr>
                  <w:tcW w:w="508" w:type="pct"/>
                  <w:vMerge w:val="restart"/>
                  <w:tcBorders>
                    <w:tl2br w:val="nil"/>
                    <w:tr2bl w:val="nil"/>
                  </w:tcBorders>
                  <w:shd w:val="clear" w:color="auto" w:fill="auto"/>
                  <w:noWrap w:val="0"/>
                  <w:tcMar>
                    <w:top w:w="15" w:type="dxa"/>
                    <w:left w:w="15" w:type="dxa"/>
                    <w:right w:w="15" w:type="dxa"/>
                  </w:tcMar>
                  <w:vAlign w:val="center"/>
                </w:tcPr>
                <w:p w14:paraId="5D5D59E2">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项目</w:t>
                  </w:r>
                </w:p>
              </w:tc>
              <w:tc>
                <w:tcPr>
                  <w:tcW w:w="3456" w:type="pct"/>
                  <w:vMerge w:val="restart"/>
                  <w:tcBorders>
                    <w:tl2br w:val="nil"/>
                    <w:tr2bl w:val="nil"/>
                  </w:tcBorders>
                  <w:shd w:val="clear" w:color="auto" w:fill="auto"/>
                  <w:noWrap w:val="0"/>
                  <w:tcMar>
                    <w:top w:w="15" w:type="dxa"/>
                    <w:left w:w="15" w:type="dxa"/>
                    <w:right w:w="15" w:type="dxa"/>
                  </w:tcMar>
                  <w:vAlign w:val="center"/>
                </w:tcPr>
                <w:p w14:paraId="072A1795">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环保建设内容</w:t>
                  </w:r>
                </w:p>
              </w:tc>
              <w:tc>
                <w:tcPr>
                  <w:tcW w:w="562" w:type="pct"/>
                  <w:vMerge w:val="restart"/>
                  <w:tcBorders>
                    <w:tl2br w:val="nil"/>
                    <w:tr2bl w:val="nil"/>
                  </w:tcBorders>
                  <w:shd w:val="clear" w:color="auto" w:fill="auto"/>
                  <w:noWrap w:val="0"/>
                  <w:tcMar>
                    <w:top w:w="15" w:type="dxa"/>
                    <w:left w:w="15" w:type="dxa"/>
                    <w:right w:w="15" w:type="dxa"/>
                  </w:tcMar>
                  <w:vAlign w:val="center"/>
                </w:tcPr>
                <w:p w14:paraId="3A3776F4">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投资（万元）</w:t>
                  </w:r>
                </w:p>
              </w:tc>
            </w:tr>
            <w:tr w14:paraId="77356E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610E5E18">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259" w:type="pct"/>
                  <w:vMerge w:val="continue"/>
                  <w:tcBorders>
                    <w:tl2br w:val="nil"/>
                    <w:tr2bl w:val="nil"/>
                  </w:tcBorders>
                  <w:shd w:val="clear" w:color="auto" w:fill="auto"/>
                  <w:noWrap w:val="0"/>
                  <w:tcMar>
                    <w:top w:w="15" w:type="dxa"/>
                    <w:left w:w="15" w:type="dxa"/>
                    <w:right w:w="15" w:type="dxa"/>
                  </w:tcMar>
                  <w:vAlign w:val="center"/>
                </w:tcPr>
                <w:p w14:paraId="38D42EC5">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508" w:type="pct"/>
                  <w:vMerge w:val="continue"/>
                  <w:tcBorders>
                    <w:tl2br w:val="nil"/>
                    <w:tr2bl w:val="nil"/>
                  </w:tcBorders>
                  <w:shd w:val="clear" w:color="auto" w:fill="auto"/>
                  <w:noWrap w:val="0"/>
                  <w:tcMar>
                    <w:top w:w="15" w:type="dxa"/>
                    <w:left w:w="15" w:type="dxa"/>
                    <w:right w:w="15" w:type="dxa"/>
                  </w:tcMar>
                  <w:vAlign w:val="center"/>
                </w:tcPr>
                <w:p w14:paraId="0773E4B3">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3456" w:type="pct"/>
                  <w:vMerge w:val="continue"/>
                  <w:tcBorders>
                    <w:tl2br w:val="nil"/>
                    <w:tr2bl w:val="nil"/>
                  </w:tcBorders>
                  <w:shd w:val="clear" w:color="auto" w:fill="auto"/>
                  <w:noWrap w:val="0"/>
                  <w:tcMar>
                    <w:top w:w="15" w:type="dxa"/>
                    <w:left w:w="15" w:type="dxa"/>
                    <w:right w:w="15" w:type="dxa"/>
                  </w:tcMar>
                  <w:vAlign w:val="center"/>
                </w:tcPr>
                <w:p w14:paraId="5249EF7D">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562" w:type="pct"/>
                  <w:vMerge w:val="continue"/>
                  <w:tcBorders>
                    <w:tl2br w:val="nil"/>
                    <w:tr2bl w:val="nil"/>
                  </w:tcBorders>
                  <w:shd w:val="clear" w:color="auto" w:fill="auto"/>
                  <w:noWrap w:val="0"/>
                  <w:tcMar>
                    <w:top w:w="15" w:type="dxa"/>
                    <w:left w:w="15" w:type="dxa"/>
                    <w:right w:w="15" w:type="dxa"/>
                  </w:tcMar>
                  <w:vAlign w:val="center"/>
                </w:tcPr>
                <w:p w14:paraId="732074A8">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r>
            <w:tr w14:paraId="12112A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5DDA14ED">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259" w:type="pct"/>
                  <w:vMerge w:val="continue"/>
                  <w:tcBorders>
                    <w:tl2br w:val="nil"/>
                    <w:tr2bl w:val="nil"/>
                  </w:tcBorders>
                  <w:shd w:val="clear" w:color="auto" w:fill="auto"/>
                  <w:noWrap w:val="0"/>
                  <w:tcMar>
                    <w:top w:w="15" w:type="dxa"/>
                    <w:left w:w="15" w:type="dxa"/>
                    <w:right w:w="15" w:type="dxa"/>
                  </w:tcMar>
                  <w:vAlign w:val="center"/>
                </w:tcPr>
                <w:p w14:paraId="469BDF08">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508" w:type="pct"/>
                  <w:vMerge w:val="continue"/>
                  <w:tcBorders>
                    <w:tl2br w:val="nil"/>
                    <w:tr2bl w:val="nil"/>
                  </w:tcBorders>
                  <w:shd w:val="clear" w:color="auto" w:fill="auto"/>
                  <w:noWrap w:val="0"/>
                  <w:tcMar>
                    <w:top w:w="15" w:type="dxa"/>
                    <w:left w:w="15" w:type="dxa"/>
                    <w:right w:w="15" w:type="dxa"/>
                  </w:tcMar>
                  <w:vAlign w:val="center"/>
                </w:tcPr>
                <w:p w14:paraId="4291ECB8">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3456" w:type="pct"/>
                  <w:vMerge w:val="continue"/>
                  <w:tcBorders>
                    <w:tl2br w:val="nil"/>
                    <w:tr2bl w:val="nil"/>
                  </w:tcBorders>
                  <w:shd w:val="clear" w:color="auto" w:fill="auto"/>
                  <w:noWrap w:val="0"/>
                  <w:tcMar>
                    <w:top w:w="15" w:type="dxa"/>
                    <w:left w:w="15" w:type="dxa"/>
                    <w:right w:w="15" w:type="dxa"/>
                  </w:tcMar>
                  <w:vAlign w:val="center"/>
                </w:tcPr>
                <w:p w14:paraId="174E8D9E">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562" w:type="pct"/>
                  <w:vMerge w:val="continue"/>
                  <w:tcBorders>
                    <w:tl2br w:val="nil"/>
                    <w:tr2bl w:val="nil"/>
                  </w:tcBorders>
                  <w:shd w:val="clear" w:color="auto" w:fill="auto"/>
                  <w:noWrap w:val="0"/>
                  <w:tcMar>
                    <w:top w:w="15" w:type="dxa"/>
                    <w:left w:w="15" w:type="dxa"/>
                    <w:right w:w="15" w:type="dxa"/>
                  </w:tcMar>
                  <w:vAlign w:val="center"/>
                </w:tcPr>
                <w:p w14:paraId="03BF45E5">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r>
            <w:tr w14:paraId="53CBA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212" w:type="pct"/>
                  <w:vMerge w:val="restart"/>
                  <w:tcBorders>
                    <w:tl2br w:val="nil"/>
                    <w:tr2bl w:val="nil"/>
                  </w:tcBorders>
                  <w:shd w:val="clear" w:color="auto" w:fill="auto"/>
                  <w:noWrap w:val="0"/>
                  <w:tcMar>
                    <w:top w:w="15" w:type="dxa"/>
                    <w:left w:w="15" w:type="dxa"/>
                    <w:right w:w="15" w:type="dxa"/>
                  </w:tcMar>
                  <w:vAlign w:val="center"/>
                </w:tcPr>
                <w:p w14:paraId="1A1055E8">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施工期</w:t>
                  </w:r>
                </w:p>
              </w:tc>
              <w:tc>
                <w:tcPr>
                  <w:tcW w:w="259" w:type="pct"/>
                  <w:tcBorders>
                    <w:tl2br w:val="nil"/>
                    <w:tr2bl w:val="nil"/>
                  </w:tcBorders>
                  <w:shd w:val="clear" w:color="auto" w:fill="auto"/>
                  <w:noWrap w:val="0"/>
                  <w:tcMar>
                    <w:top w:w="15" w:type="dxa"/>
                    <w:left w:w="15" w:type="dxa"/>
                    <w:right w:w="15" w:type="dxa"/>
                  </w:tcMar>
                  <w:vAlign w:val="center"/>
                </w:tcPr>
                <w:p w14:paraId="01E1B7BC">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废水</w:t>
                  </w:r>
                </w:p>
              </w:tc>
              <w:tc>
                <w:tcPr>
                  <w:tcW w:w="508" w:type="pct"/>
                  <w:tcBorders>
                    <w:tl2br w:val="nil"/>
                    <w:tr2bl w:val="nil"/>
                  </w:tcBorders>
                  <w:shd w:val="clear" w:color="auto" w:fill="auto"/>
                  <w:noWrap w:val="0"/>
                  <w:tcMar>
                    <w:top w:w="15" w:type="dxa"/>
                    <w:left w:w="15" w:type="dxa"/>
                    <w:right w:w="15" w:type="dxa"/>
                  </w:tcMar>
                  <w:vAlign w:val="center"/>
                </w:tcPr>
                <w:p w14:paraId="44CF12DA">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生活废水</w:t>
                  </w:r>
                </w:p>
              </w:tc>
              <w:tc>
                <w:tcPr>
                  <w:tcW w:w="3456" w:type="pct"/>
                  <w:tcBorders>
                    <w:tl2br w:val="nil"/>
                    <w:tr2bl w:val="nil"/>
                  </w:tcBorders>
                  <w:shd w:val="clear" w:color="auto" w:fill="auto"/>
                  <w:noWrap w:val="0"/>
                  <w:tcMar>
                    <w:top w:w="15" w:type="dxa"/>
                    <w:left w:w="15" w:type="dxa"/>
                    <w:right w:w="15" w:type="dxa"/>
                  </w:tcMar>
                  <w:vAlign w:val="center"/>
                </w:tcPr>
                <w:p w14:paraId="5E44B0B1">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施工人员依托周边设施解决住宿问题。施工阶段产生的生活污水通过设置临时移动厕所</w:t>
                  </w:r>
                </w:p>
              </w:tc>
              <w:tc>
                <w:tcPr>
                  <w:tcW w:w="562" w:type="pct"/>
                  <w:tcBorders>
                    <w:tl2br w:val="nil"/>
                    <w:tr2bl w:val="nil"/>
                  </w:tcBorders>
                  <w:shd w:val="clear" w:color="auto" w:fill="auto"/>
                  <w:noWrap w:val="0"/>
                  <w:tcMar>
                    <w:top w:w="15" w:type="dxa"/>
                    <w:left w:w="15" w:type="dxa"/>
                    <w:right w:w="15" w:type="dxa"/>
                  </w:tcMar>
                  <w:vAlign w:val="center"/>
                </w:tcPr>
                <w:p w14:paraId="7A2E2C80">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val="en-US"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0.5</w:t>
                  </w:r>
                </w:p>
              </w:tc>
            </w:tr>
            <w:tr w14:paraId="68DC1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5EE2DD5C">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pPr>
                </w:p>
              </w:tc>
              <w:tc>
                <w:tcPr>
                  <w:tcW w:w="259" w:type="pct"/>
                  <w:vMerge w:val="restart"/>
                  <w:tcBorders>
                    <w:tl2br w:val="nil"/>
                    <w:tr2bl w:val="nil"/>
                  </w:tcBorders>
                  <w:shd w:val="clear" w:color="auto" w:fill="auto"/>
                  <w:noWrap w:val="0"/>
                  <w:tcMar>
                    <w:top w:w="15" w:type="dxa"/>
                    <w:left w:w="15" w:type="dxa"/>
                    <w:right w:w="15" w:type="dxa"/>
                  </w:tcMar>
                  <w:vAlign w:val="center"/>
                </w:tcPr>
                <w:p w14:paraId="1AB1FFE6">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废气</w:t>
                  </w:r>
                </w:p>
              </w:tc>
              <w:tc>
                <w:tcPr>
                  <w:tcW w:w="508" w:type="pct"/>
                  <w:tcBorders>
                    <w:tl2br w:val="nil"/>
                    <w:tr2bl w:val="nil"/>
                  </w:tcBorders>
                  <w:shd w:val="clear" w:color="auto" w:fill="auto"/>
                  <w:noWrap w:val="0"/>
                  <w:tcMar>
                    <w:top w:w="15" w:type="dxa"/>
                    <w:left w:w="15" w:type="dxa"/>
                    <w:right w:w="15" w:type="dxa"/>
                  </w:tcMar>
                  <w:vAlign w:val="center"/>
                </w:tcPr>
                <w:p w14:paraId="08416316">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扬尘</w:t>
                  </w:r>
                </w:p>
              </w:tc>
              <w:tc>
                <w:tcPr>
                  <w:tcW w:w="3456" w:type="pct"/>
                  <w:tcBorders>
                    <w:tl2br w:val="nil"/>
                    <w:tr2bl w:val="nil"/>
                  </w:tcBorders>
                  <w:shd w:val="clear" w:color="auto" w:fill="auto"/>
                  <w:noWrap w:val="0"/>
                  <w:tcMar>
                    <w:top w:w="15" w:type="dxa"/>
                    <w:left w:w="15" w:type="dxa"/>
                    <w:right w:w="15" w:type="dxa"/>
                  </w:tcMar>
                  <w:vAlign w:val="center"/>
                </w:tcPr>
                <w:p w14:paraId="4263205A">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现场设置围挡、物料堆放处覆盖、对出入的车辆进行冲洗、工地湿法作业、渣土车辆密闭运输等措施。</w:t>
                  </w:r>
                </w:p>
              </w:tc>
              <w:tc>
                <w:tcPr>
                  <w:tcW w:w="562" w:type="pct"/>
                  <w:tcBorders>
                    <w:tl2br w:val="nil"/>
                    <w:tr2bl w:val="nil"/>
                  </w:tcBorders>
                  <w:shd w:val="clear" w:color="auto" w:fill="auto"/>
                  <w:noWrap w:val="0"/>
                  <w:tcMar>
                    <w:top w:w="15" w:type="dxa"/>
                    <w:left w:w="15" w:type="dxa"/>
                    <w:right w:w="15" w:type="dxa"/>
                  </w:tcMar>
                  <w:vAlign w:val="center"/>
                </w:tcPr>
                <w:p w14:paraId="7BCFDFCB">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val="en-US"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1</w:t>
                  </w:r>
                </w:p>
              </w:tc>
            </w:tr>
            <w:tr w14:paraId="340E54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2618D556">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pPr>
                </w:p>
              </w:tc>
              <w:tc>
                <w:tcPr>
                  <w:tcW w:w="259" w:type="pct"/>
                  <w:vMerge w:val="continue"/>
                  <w:tcBorders>
                    <w:tl2br w:val="nil"/>
                    <w:tr2bl w:val="nil"/>
                  </w:tcBorders>
                  <w:shd w:val="clear" w:color="auto" w:fill="auto"/>
                  <w:noWrap w:val="0"/>
                  <w:tcMar>
                    <w:top w:w="15" w:type="dxa"/>
                    <w:left w:w="15" w:type="dxa"/>
                    <w:right w:w="15" w:type="dxa"/>
                  </w:tcMar>
                  <w:vAlign w:val="center"/>
                </w:tcPr>
                <w:p w14:paraId="38DA757C">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p>
              </w:tc>
              <w:tc>
                <w:tcPr>
                  <w:tcW w:w="508" w:type="pct"/>
                  <w:tcBorders>
                    <w:tl2br w:val="nil"/>
                    <w:tr2bl w:val="nil"/>
                  </w:tcBorders>
                  <w:shd w:val="clear" w:color="auto" w:fill="auto"/>
                  <w:noWrap w:val="0"/>
                  <w:tcMar>
                    <w:top w:w="15" w:type="dxa"/>
                    <w:left w:w="15" w:type="dxa"/>
                    <w:right w:w="15" w:type="dxa"/>
                  </w:tcMar>
                  <w:vAlign w:val="center"/>
                </w:tcPr>
                <w:p w14:paraId="4A6CCC0A">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燃油、装修废气</w:t>
                  </w:r>
                </w:p>
              </w:tc>
              <w:tc>
                <w:tcPr>
                  <w:tcW w:w="3456" w:type="pct"/>
                  <w:tcBorders>
                    <w:tl2br w:val="nil"/>
                    <w:tr2bl w:val="nil"/>
                  </w:tcBorders>
                  <w:shd w:val="clear" w:color="auto" w:fill="auto"/>
                  <w:noWrap w:val="0"/>
                  <w:tcMar>
                    <w:top w:w="15" w:type="dxa"/>
                    <w:left w:w="15" w:type="dxa"/>
                    <w:right w:w="15" w:type="dxa"/>
                  </w:tcMar>
                  <w:vAlign w:val="center"/>
                </w:tcPr>
                <w:p w14:paraId="131F0C67">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选用先进施工设备，尽量使用电气化设备，做好设备的维修和养护工作，装修采用环保材料等措施。</w:t>
                  </w:r>
                </w:p>
              </w:tc>
              <w:tc>
                <w:tcPr>
                  <w:tcW w:w="562" w:type="pct"/>
                  <w:tcBorders>
                    <w:tl2br w:val="nil"/>
                    <w:tr2bl w:val="nil"/>
                  </w:tcBorders>
                  <w:shd w:val="clear" w:color="auto" w:fill="auto"/>
                  <w:noWrap w:val="0"/>
                  <w:tcMar>
                    <w:top w:w="15" w:type="dxa"/>
                    <w:left w:w="15" w:type="dxa"/>
                    <w:right w:w="15" w:type="dxa"/>
                  </w:tcMar>
                  <w:vAlign w:val="center"/>
                </w:tcPr>
                <w:p w14:paraId="61C9E37B">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1</w:t>
                  </w:r>
                </w:p>
              </w:tc>
            </w:tr>
            <w:tr w14:paraId="6395D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6"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1893DA9C">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pPr>
                </w:p>
              </w:tc>
              <w:tc>
                <w:tcPr>
                  <w:tcW w:w="259" w:type="pct"/>
                  <w:tcBorders>
                    <w:tl2br w:val="nil"/>
                    <w:tr2bl w:val="nil"/>
                  </w:tcBorders>
                  <w:shd w:val="clear" w:color="auto" w:fill="auto"/>
                  <w:noWrap w:val="0"/>
                  <w:tcMar>
                    <w:top w:w="15" w:type="dxa"/>
                    <w:left w:w="15" w:type="dxa"/>
                    <w:right w:w="15" w:type="dxa"/>
                  </w:tcMar>
                  <w:vAlign w:val="center"/>
                </w:tcPr>
                <w:p w14:paraId="43824673">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固废</w:t>
                  </w:r>
                </w:p>
              </w:tc>
              <w:tc>
                <w:tcPr>
                  <w:tcW w:w="508" w:type="pct"/>
                  <w:tcBorders>
                    <w:tl2br w:val="nil"/>
                    <w:tr2bl w:val="nil"/>
                  </w:tcBorders>
                  <w:shd w:val="clear" w:color="auto" w:fill="auto"/>
                  <w:noWrap w:val="0"/>
                  <w:tcMar>
                    <w:top w:w="15" w:type="dxa"/>
                    <w:left w:w="15" w:type="dxa"/>
                    <w:right w:w="15" w:type="dxa"/>
                  </w:tcMar>
                  <w:vAlign w:val="center"/>
                </w:tcPr>
                <w:p w14:paraId="23FED35F">
                  <w:pPr>
                    <w:widowControl/>
                    <w:spacing w:before="157" w:beforeLines="50" w:afterLines="0" w:line="360" w:lineRule="auto"/>
                    <w:jc w:val="center"/>
                    <w:textAlignment w:val="top"/>
                    <w:rPr>
                      <w:rFonts w:hint="default" w:ascii="Times New Roman" w:hAnsi="Times New Roman" w:eastAsia="宋体" w:cs="Times New Roman"/>
                      <w:color w:val="000000" w:themeColor="text1"/>
                      <w:spacing w:val="0"/>
                      <w:kern w:val="21"/>
                      <w:positio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w:t>
                  </w:r>
                </w:p>
              </w:tc>
              <w:tc>
                <w:tcPr>
                  <w:tcW w:w="3456" w:type="pct"/>
                  <w:tcBorders>
                    <w:tl2br w:val="nil"/>
                    <w:tr2bl w:val="nil"/>
                  </w:tcBorders>
                  <w:shd w:val="clear" w:color="auto" w:fill="auto"/>
                  <w:noWrap w:val="0"/>
                  <w:tcMar>
                    <w:top w:w="15" w:type="dxa"/>
                    <w:left w:w="15" w:type="dxa"/>
                    <w:right w:w="15" w:type="dxa"/>
                  </w:tcMar>
                  <w:vAlign w:val="center"/>
                </w:tcPr>
                <w:p w14:paraId="0E464F43">
                  <w:pPr>
                    <w:widowControl/>
                    <w:spacing w:before="157" w:beforeLines="50" w:afterLines="0" w:line="360" w:lineRule="auto"/>
                    <w:ind w:firstLine="420" w:firstLineChars="200"/>
                    <w:jc w:val="left"/>
                    <w:textAlignment w:val="top"/>
                    <w:rPr>
                      <w:rFonts w:hint="default" w:ascii="Times New Roman" w:hAnsi="Times New Roman" w:eastAsia="宋体" w:cs="Times New Roman"/>
                      <w:color w:val="000000" w:themeColor="text1"/>
                      <w:spacing w:val="0"/>
                      <w:kern w:val="21"/>
                      <w:positio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土石方全部用于场地平整，无弃土量</w:t>
                  </w:r>
                  <w:r>
                    <w:rPr>
                      <w:rFonts w:hint="default" w:ascii="Times New Roman" w:hAnsi="Times New Roman" w:cs="Times New Roman"/>
                      <w:color w:val="000000" w:themeColor="text1"/>
                      <w:spacing w:val="0"/>
                      <w:kern w:val="21"/>
                      <w:position w:val="0"/>
                      <w:szCs w:val="21"/>
                      <w:highlight w:val="none"/>
                      <w:lang w:eastAsia="zh-CN" w:bidi="ar"/>
                      <w14:textFill>
                        <w14:solidFill>
                          <w14:schemeClr w14:val="tx1"/>
                        </w14:solidFill>
                      </w14:textFill>
                    </w:rPr>
                    <w:t>，</w:t>
                  </w: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建筑垃圾定时清运到当地指定的建筑垃圾场处置；施工人员每日产生的生活垃圾应经收集后，由环卫部门统一清运，不可就地填埋</w:t>
                  </w:r>
                </w:p>
              </w:tc>
              <w:tc>
                <w:tcPr>
                  <w:tcW w:w="562" w:type="pct"/>
                  <w:tcBorders>
                    <w:tl2br w:val="nil"/>
                    <w:tr2bl w:val="nil"/>
                  </w:tcBorders>
                  <w:shd w:val="clear" w:color="auto" w:fill="auto"/>
                  <w:noWrap w:val="0"/>
                  <w:tcMar>
                    <w:top w:w="15" w:type="dxa"/>
                    <w:left w:w="15" w:type="dxa"/>
                    <w:right w:w="15" w:type="dxa"/>
                  </w:tcMar>
                  <w:vAlign w:val="center"/>
                </w:tcPr>
                <w:p w14:paraId="32B9BBCA">
                  <w:pPr>
                    <w:widowControl/>
                    <w:spacing w:before="157" w:beforeLines="50" w:afterLines="0" w:line="360" w:lineRule="auto"/>
                    <w:jc w:val="center"/>
                    <w:textAlignment w:val="top"/>
                    <w:rPr>
                      <w:rFonts w:hint="default" w:ascii="Times New Roman" w:hAnsi="Times New Roman" w:eastAsia="宋体" w:cs="Times New Roman"/>
                      <w:color w:val="000000" w:themeColor="text1"/>
                      <w:spacing w:val="0"/>
                      <w:kern w:val="21"/>
                      <w:positio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2</w:t>
                  </w:r>
                </w:p>
              </w:tc>
            </w:tr>
            <w:tr w14:paraId="50239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restart"/>
                  <w:tcBorders>
                    <w:tl2br w:val="nil"/>
                    <w:tr2bl w:val="nil"/>
                  </w:tcBorders>
                  <w:shd w:val="clear" w:color="auto" w:fill="auto"/>
                  <w:noWrap w:val="0"/>
                  <w:tcMar>
                    <w:top w:w="15" w:type="dxa"/>
                    <w:left w:w="15" w:type="dxa"/>
                    <w:right w:w="15" w:type="dxa"/>
                  </w:tcMar>
                  <w:vAlign w:val="center"/>
                </w:tcPr>
                <w:p w14:paraId="788ADB30">
                  <w:pPr>
                    <w:widowControl/>
                    <w:spacing w:before="157" w:beforeLines="50" w:afterLines="0" w:line="360" w:lineRule="auto"/>
                    <w:jc w:val="center"/>
                    <w:textAlignment w:val="top"/>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color w:val="000000" w:themeColor="text1"/>
                      <w:spacing w:val="0"/>
                      <w:kern w:val="21"/>
                      <w:position w:val="0"/>
                      <w:szCs w:val="21"/>
                      <w:highlight w:val="none"/>
                      <w:lang w:bidi="ar"/>
                      <w14:textFill>
                        <w14:solidFill>
                          <w14:schemeClr w14:val="tx1"/>
                        </w14:solidFill>
                      </w14:textFill>
                    </w:rPr>
                    <w:t>营运期</w:t>
                  </w:r>
                </w:p>
              </w:tc>
              <w:tc>
                <w:tcPr>
                  <w:tcW w:w="259" w:type="pct"/>
                  <w:tcBorders>
                    <w:tl2br w:val="nil"/>
                    <w:tr2bl w:val="nil"/>
                  </w:tcBorders>
                  <w:shd w:val="clear" w:color="auto" w:fill="auto"/>
                  <w:noWrap w:val="0"/>
                  <w:tcMar>
                    <w:top w:w="15" w:type="dxa"/>
                    <w:left w:w="15" w:type="dxa"/>
                    <w:right w:w="15" w:type="dxa"/>
                  </w:tcMar>
                  <w:vAlign w:val="center"/>
                </w:tcPr>
                <w:p w14:paraId="1BD3E443">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t>废水</w:t>
                  </w:r>
                </w:p>
              </w:tc>
              <w:tc>
                <w:tcPr>
                  <w:tcW w:w="508" w:type="pct"/>
                  <w:tcBorders>
                    <w:tl2br w:val="nil"/>
                    <w:tr2bl w:val="nil"/>
                  </w:tcBorders>
                  <w:shd w:val="clear" w:color="auto" w:fill="auto"/>
                  <w:noWrap w:val="0"/>
                  <w:tcMar>
                    <w:top w:w="15" w:type="dxa"/>
                    <w:left w:w="15" w:type="dxa"/>
                    <w:right w:w="15" w:type="dxa"/>
                  </w:tcMar>
                  <w:vAlign w:val="center"/>
                </w:tcPr>
                <w:p w14:paraId="10A34B58">
                  <w:pPr>
                    <w:widowControl/>
                    <w:spacing w:before="157" w:beforeLines="50" w:afterLines="0" w:line="360" w:lineRule="auto"/>
                    <w:jc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w:t>
                  </w:r>
                </w:p>
              </w:tc>
              <w:tc>
                <w:tcPr>
                  <w:tcW w:w="3456" w:type="pct"/>
                  <w:tcBorders>
                    <w:tl2br w:val="nil"/>
                    <w:tr2bl w:val="nil"/>
                  </w:tcBorders>
                  <w:shd w:val="clear" w:color="auto" w:fill="auto"/>
                  <w:noWrap w:val="0"/>
                  <w:tcMar>
                    <w:top w:w="15" w:type="dxa"/>
                    <w:left w:w="15" w:type="dxa"/>
                    <w:right w:w="15" w:type="dxa"/>
                  </w:tcMar>
                  <w:vAlign w:val="center"/>
                </w:tcPr>
                <w:p w14:paraId="0AB096D8">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eastAsia="zh-CN"/>
                      <w14:textFill>
                        <w14:solidFill>
                          <w14:schemeClr w14:val="tx1"/>
                        </w14:solidFill>
                      </w14:textFill>
                    </w:rPr>
                    <w:t>生活污水、食堂废水、辆清洗废水、运输车辆轮胎冲洗废水、搅拌设备清洗废水、地面冲洗废水、喷雾废水、洒水废水。食堂废水经过隔油器隔油处理后，同生活污水一同经过</w:t>
                  </w:r>
                  <w:r>
                    <w:rPr>
                      <w:rFonts w:hint="eastAsia" w:cs="Times New Roman"/>
                      <w:color w:val="000000" w:themeColor="text1"/>
                      <w:spacing w:val="0"/>
                      <w:kern w:val="21"/>
                      <w:position w:val="0"/>
                      <w:szCs w:val="21"/>
                      <w:highlight w:val="none"/>
                      <w:lang w:eastAsia="zh-CN"/>
                      <w14:textFill>
                        <w14:solidFill>
                          <w14:schemeClr w14:val="tx1"/>
                        </w14:solidFill>
                      </w14:textFill>
                    </w:rPr>
                    <w:t>预处理池（容积为10m³）</w:t>
                  </w:r>
                  <w:r>
                    <w:rPr>
                      <w:rFonts w:hint="default" w:ascii="Times New Roman" w:hAnsi="Times New Roman" w:cs="Times New Roman"/>
                      <w:color w:val="000000" w:themeColor="text1"/>
                      <w:spacing w:val="0"/>
                      <w:kern w:val="21"/>
                      <w:position w:val="0"/>
                      <w:szCs w:val="21"/>
                      <w:highlight w:val="none"/>
                      <w:lang w:eastAsia="zh-CN"/>
                      <w14:textFill>
                        <w14:solidFill>
                          <w14:schemeClr w14:val="tx1"/>
                        </w14:solidFill>
                      </w14:textFill>
                    </w:rPr>
                    <w:t>处理后通过市政污水管网最终进入甘孜县县城污水处理厂处理达到《城镇污水处理厂污染物排放标准》（GB18918-2002）一级 B 标准进入雅砻江；车辆清洗废水、运输车辆轮胎冲洗废水、搅拌设备清洗废水、地面冲洗废水厂内三级沉淀池处理后回用；喷雾废水、洒水废水蒸发消耗</w:t>
                  </w:r>
                </w:p>
              </w:tc>
              <w:tc>
                <w:tcPr>
                  <w:tcW w:w="562" w:type="pct"/>
                  <w:tcBorders>
                    <w:tl2br w:val="nil"/>
                    <w:tr2bl w:val="nil"/>
                  </w:tcBorders>
                  <w:shd w:val="clear" w:color="auto" w:fill="auto"/>
                  <w:noWrap w:val="0"/>
                  <w:tcMar>
                    <w:top w:w="15" w:type="dxa"/>
                    <w:left w:w="15" w:type="dxa"/>
                    <w:right w:w="15" w:type="dxa"/>
                  </w:tcMar>
                  <w:vAlign w:val="center"/>
                </w:tcPr>
                <w:p w14:paraId="5784D0C2">
                  <w:pPr>
                    <w:widowControl/>
                    <w:spacing w:before="157" w:beforeLines="50" w:afterLines="0" w:line="360" w:lineRule="auto"/>
                    <w:jc w:val="center"/>
                    <w:textAlignment w:val="top"/>
                    <w:rPr>
                      <w:rFonts w:hint="default" w:ascii="Times New Roman" w:hAnsi="Times New Roman" w:eastAsia="宋体" w:cs="Times New Roman"/>
                      <w:color w:val="000000" w:themeColor="text1"/>
                      <w:spacing w:val="0"/>
                      <w:kern w:val="21"/>
                      <w:position w:val="0"/>
                      <w:szCs w:val="21"/>
                      <w:highlight w:val="none"/>
                      <w:lang w:val="en-US" w:eastAsia="zh-CN"/>
                      <w14:textFill>
                        <w14:solidFill>
                          <w14:schemeClr w14:val="tx1"/>
                        </w14:solidFill>
                      </w14:textFill>
                    </w:rPr>
                  </w:pPr>
                  <w:r>
                    <w:rPr>
                      <w:rFonts w:hint="eastAsia" w:cs="Times New Roman"/>
                      <w:color w:val="000000" w:themeColor="text1"/>
                      <w:spacing w:val="0"/>
                      <w:kern w:val="21"/>
                      <w:position w:val="0"/>
                      <w:szCs w:val="21"/>
                      <w:highlight w:val="none"/>
                      <w:lang w:val="en-US" w:eastAsia="zh-CN"/>
                      <w14:textFill>
                        <w14:solidFill>
                          <w14:schemeClr w14:val="tx1"/>
                        </w14:solidFill>
                      </w14:textFill>
                    </w:rPr>
                    <w:t>20</w:t>
                  </w:r>
                </w:p>
              </w:tc>
            </w:tr>
            <w:tr w14:paraId="75716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0555F0F6">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259" w:type="pct"/>
                  <w:tcBorders>
                    <w:tl2br w:val="nil"/>
                    <w:tr2bl w:val="nil"/>
                  </w:tcBorders>
                  <w:shd w:val="clear" w:color="auto" w:fill="auto"/>
                  <w:noWrap w:val="0"/>
                  <w:tcMar>
                    <w:top w:w="15" w:type="dxa"/>
                    <w:left w:w="15" w:type="dxa"/>
                    <w:right w:w="15" w:type="dxa"/>
                  </w:tcMar>
                  <w:vAlign w:val="center"/>
                </w:tcPr>
                <w:p w14:paraId="0EA85A52">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废气</w:t>
                  </w:r>
                </w:p>
              </w:tc>
              <w:tc>
                <w:tcPr>
                  <w:tcW w:w="508" w:type="pct"/>
                  <w:tcBorders>
                    <w:tl2br w:val="nil"/>
                    <w:tr2bl w:val="nil"/>
                  </w:tcBorders>
                  <w:shd w:val="clear" w:color="auto" w:fill="auto"/>
                  <w:noWrap w:val="0"/>
                  <w:tcMar>
                    <w:top w:w="15" w:type="dxa"/>
                    <w:left w:w="15" w:type="dxa"/>
                    <w:right w:w="15" w:type="dxa"/>
                  </w:tcMar>
                  <w:vAlign w:val="center"/>
                </w:tcPr>
                <w:p w14:paraId="6CA1F3A6">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val="en-US"/>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w:t>
                  </w:r>
                </w:p>
              </w:tc>
              <w:tc>
                <w:tcPr>
                  <w:tcW w:w="3456" w:type="pct"/>
                  <w:tcBorders>
                    <w:tl2br w:val="nil"/>
                    <w:tr2bl w:val="nil"/>
                  </w:tcBorders>
                  <w:shd w:val="clear" w:color="auto" w:fill="auto"/>
                  <w:noWrap w:val="0"/>
                  <w:tcMar>
                    <w:top w:w="15" w:type="dxa"/>
                    <w:left w:w="15" w:type="dxa"/>
                    <w:right w:w="15" w:type="dxa"/>
                  </w:tcMar>
                  <w:vAlign w:val="center"/>
                </w:tcPr>
                <w:p w14:paraId="397A1BB1">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搅拌工序粉尘集气装置+脉冲袋式除尘器装置+15m高排气筒（DA001）排放；上料粉尘喷雾降尘处理后无组织排放；筒仓仓顶呼吸孔粉尘脉冲袋式除尘器处理后有组织排放；原料堆场粉尘喷雾降尘车间密闭处理后无组织排放；运输扬尘洒水抑尘。</w:t>
                  </w:r>
                </w:p>
                <w:p w14:paraId="3B9057D9">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汽车运输尾气场地地势开阔，经扩散后对区域大气环境基本无影响</w:t>
                  </w:r>
                </w:p>
                <w:p w14:paraId="7C85FCDA">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食堂油烟采用60%清除效率的静电油烟净化器处置后，引至楼顶达标排放</w:t>
                  </w:r>
                </w:p>
              </w:tc>
              <w:tc>
                <w:tcPr>
                  <w:tcW w:w="562" w:type="pct"/>
                  <w:tcBorders>
                    <w:tl2br w:val="nil"/>
                    <w:tr2bl w:val="nil"/>
                  </w:tcBorders>
                  <w:shd w:val="clear" w:color="auto" w:fill="auto"/>
                  <w:noWrap w:val="0"/>
                  <w:tcMar>
                    <w:top w:w="15" w:type="dxa"/>
                    <w:left w:w="15" w:type="dxa"/>
                    <w:right w:w="15" w:type="dxa"/>
                  </w:tcMar>
                  <w:vAlign w:val="center"/>
                </w:tcPr>
                <w:p w14:paraId="04D3B84E">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val="en-US"/>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15</w:t>
                  </w:r>
                </w:p>
              </w:tc>
            </w:tr>
            <w:tr w14:paraId="297B5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1D369527">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259" w:type="pct"/>
                  <w:tcBorders>
                    <w:tl2br w:val="nil"/>
                    <w:tr2bl w:val="nil"/>
                  </w:tcBorders>
                  <w:shd w:val="clear" w:color="auto" w:fill="auto"/>
                  <w:noWrap w:val="0"/>
                  <w:tcMar>
                    <w:top w:w="15" w:type="dxa"/>
                    <w:left w:w="15" w:type="dxa"/>
                    <w:right w:w="15" w:type="dxa"/>
                  </w:tcMar>
                  <w:vAlign w:val="center"/>
                </w:tcPr>
                <w:p w14:paraId="6A242890">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噪声</w:t>
                  </w:r>
                </w:p>
              </w:tc>
              <w:tc>
                <w:tcPr>
                  <w:tcW w:w="508" w:type="pct"/>
                  <w:tcBorders>
                    <w:tl2br w:val="nil"/>
                    <w:tr2bl w:val="nil"/>
                  </w:tcBorders>
                  <w:shd w:val="clear" w:color="auto" w:fill="auto"/>
                  <w:noWrap w:val="0"/>
                  <w:tcMar>
                    <w:top w:w="15" w:type="dxa"/>
                    <w:left w:w="15" w:type="dxa"/>
                    <w:right w:w="15" w:type="dxa"/>
                  </w:tcMar>
                  <w:vAlign w:val="center"/>
                </w:tcPr>
                <w:p w14:paraId="349E59BA">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设备运行噪声</w:t>
                  </w:r>
                </w:p>
              </w:tc>
              <w:tc>
                <w:tcPr>
                  <w:tcW w:w="3456" w:type="pct"/>
                  <w:tcBorders>
                    <w:tl2br w:val="nil"/>
                    <w:tr2bl w:val="nil"/>
                  </w:tcBorders>
                  <w:shd w:val="clear" w:color="auto" w:fill="auto"/>
                  <w:noWrap w:val="0"/>
                  <w:tcMar>
                    <w:top w:w="15" w:type="dxa"/>
                    <w:left w:w="15" w:type="dxa"/>
                    <w:right w:w="15" w:type="dxa"/>
                  </w:tcMar>
                  <w:vAlign w:val="center"/>
                </w:tcPr>
                <w:p w14:paraId="6AB97019">
                  <w:pPr>
                    <w:widowControl/>
                    <w:spacing w:before="157" w:beforeLines="50" w:afterLines="0" w:line="360" w:lineRule="auto"/>
                    <w:ind w:firstLine="420" w:firstLineChars="200"/>
                    <w:jc w:val="left"/>
                    <w:textAlignment w:val="top"/>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厂房隔声、基础减振、距离衰减</w:t>
                  </w:r>
                </w:p>
              </w:tc>
              <w:tc>
                <w:tcPr>
                  <w:tcW w:w="562" w:type="pct"/>
                  <w:tcBorders>
                    <w:tl2br w:val="nil"/>
                    <w:tr2bl w:val="nil"/>
                  </w:tcBorders>
                  <w:shd w:val="clear" w:color="auto" w:fill="auto"/>
                  <w:noWrap w:val="0"/>
                  <w:tcMar>
                    <w:top w:w="15" w:type="dxa"/>
                    <w:left w:w="15" w:type="dxa"/>
                    <w:right w:w="15" w:type="dxa"/>
                  </w:tcMar>
                  <w:vAlign w:val="center"/>
                </w:tcPr>
                <w:p w14:paraId="7ECA64F9">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val="en-US"/>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bidi="ar"/>
                      <w14:textFill>
                        <w14:solidFill>
                          <w14:schemeClr w14:val="tx1"/>
                        </w14:solidFill>
                      </w14:textFill>
                    </w:rPr>
                    <w:t>1</w:t>
                  </w:r>
                </w:p>
              </w:tc>
            </w:tr>
            <w:tr w14:paraId="39F0F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 w:type="pct"/>
                  <w:vMerge w:val="continue"/>
                  <w:tcBorders>
                    <w:tl2br w:val="nil"/>
                    <w:tr2bl w:val="nil"/>
                  </w:tcBorders>
                  <w:shd w:val="clear" w:color="auto" w:fill="auto"/>
                  <w:noWrap w:val="0"/>
                  <w:tcMar>
                    <w:top w:w="15" w:type="dxa"/>
                    <w:left w:w="15" w:type="dxa"/>
                    <w:right w:w="15" w:type="dxa"/>
                  </w:tcMar>
                  <w:vAlign w:val="center"/>
                </w:tcPr>
                <w:p w14:paraId="33FE4712">
                  <w:pPr>
                    <w:spacing w:before="157" w:beforeLines="50" w:afterLines="0" w:line="360" w:lineRule="auto"/>
                    <w:jc w:val="center"/>
                    <w:rPr>
                      <w:rFonts w:hint="default" w:ascii="Times New Roman" w:hAnsi="Times New Roman" w:cs="Times New Roman"/>
                      <w:b/>
                      <w:color w:val="000000" w:themeColor="text1"/>
                      <w:spacing w:val="0"/>
                      <w:kern w:val="21"/>
                      <w:position w:val="0"/>
                      <w:szCs w:val="21"/>
                      <w:highlight w:val="none"/>
                      <w14:textFill>
                        <w14:solidFill>
                          <w14:schemeClr w14:val="tx1"/>
                        </w14:solidFill>
                      </w14:textFill>
                    </w:rPr>
                  </w:pPr>
                </w:p>
              </w:tc>
              <w:tc>
                <w:tcPr>
                  <w:tcW w:w="259" w:type="pct"/>
                  <w:tcBorders>
                    <w:tl2br w:val="nil"/>
                    <w:tr2bl w:val="nil"/>
                  </w:tcBorders>
                  <w:shd w:val="clear" w:color="auto" w:fill="auto"/>
                  <w:noWrap w:val="0"/>
                  <w:tcMar>
                    <w:top w:w="15" w:type="dxa"/>
                    <w:left w:w="15" w:type="dxa"/>
                    <w:right w:w="15" w:type="dxa"/>
                  </w:tcMar>
                  <w:vAlign w:val="center"/>
                </w:tcPr>
                <w:p w14:paraId="406FCD5A">
                  <w:pPr>
                    <w:widowControl/>
                    <w:spacing w:before="157" w:beforeLines="50" w:afterLines="0" w:line="360" w:lineRule="auto"/>
                    <w:jc w:val="center"/>
                    <w:textAlignment w:val="top"/>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bidi="ar"/>
                      <w14:textFill>
                        <w14:solidFill>
                          <w14:schemeClr w14:val="tx1"/>
                        </w14:solidFill>
                      </w14:textFill>
                    </w:rPr>
                    <w:t>固废</w:t>
                  </w:r>
                </w:p>
              </w:tc>
              <w:tc>
                <w:tcPr>
                  <w:tcW w:w="508" w:type="pct"/>
                  <w:tcBorders>
                    <w:tl2br w:val="nil"/>
                    <w:tr2bl w:val="nil"/>
                  </w:tcBorders>
                  <w:shd w:val="clear" w:color="auto" w:fill="auto"/>
                  <w:noWrap w:val="0"/>
                  <w:tcMar>
                    <w:top w:w="15" w:type="dxa"/>
                    <w:left w:w="15" w:type="dxa"/>
                    <w:right w:w="15" w:type="dxa"/>
                  </w:tcMar>
                  <w:vAlign w:val="center"/>
                </w:tcPr>
                <w:p w14:paraId="6B263677">
                  <w:pPr>
                    <w:spacing w:before="157" w:beforeLines="50" w:afterLines="0" w:line="360" w:lineRule="auto"/>
                    <w:jc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w:t>
                  </w:r>
                </w:p>
              </w:tc>
              <w:tc>
                <w:tcPr>
                  <w:tcW w:w="3456" w:type="pct"/>
                  <w:tcBorders>
                    <w:tl2br w:val="nil"/>
                    <w:tr2bl w:val="nil"/>
                  </w:tcBorders>
                  <w:shd w:val="clear" w:color="auto" w:fill="auto"/>
                  <w:noWrap w:val="0"/>
                  <w:tcMar>
                    <w:top w:w="15" w:type="dxa"/>
                    <w:left w:w="15" w:type="dxa"/>
                    <w:right w:w="15" w:type="dxa"/>
                  </w:tcMar>
                  <w:vAlign w:val="center"/>
                </w:tcPr>
                <w:p w14:paraId="370DD3B4">
                  <w:pPr>
                    <w:spacing w:before="157" w:beforeLines="50" w:afterLines="0" w:line="360" w:lineRule="auto"/>
                    <w:ind w:firstLine="420" w:firstLineChars="200"/>
                    <w:jc w:val="left"/>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t>项目在营运期的生产固废主要为沉淀池污泥、除尘器除尘灰、混凝土废料、废机油、废机油桶、废含油棉纱及手套、生活垃圾。</w:t>
                  </w:r>
                </w:p>
                <w:p w14:paraId="54DC1A0B">
                  <w:pPr>
                    <w:spacing w:before="157" w:beforeLines="50" w:afterLines="0" w:line="360" w:lineRule="auto"/>
                    <w:ind w:firstLine="420" w:firstLineChars="200"/>
                    <w:jc w:val="left"/>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t>生活垃圾由环卫部门统一清运处理。除尘器除尘灰收集后，作为原料回到生产线，回用于生产。沉淀池污泥，混凝土废料外售建材厂综合利用。</w:t>
                  </w:r>
                </w:p>
                <w:p w14:paraId="057727BB">
                  <w:pPr>
                    <w:spacing w:before="157" w:beforeLines="50" w:afterLines="0" w:line="360" w:lineRule="auto"/>
                    <w:ind w:firstLine="420" w:firstLineChars="200"/>
                    <w:jc w:val="left"/>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14:textFill>
                        <w14:solidFill>
                          <w14:schemeClr w14:val="tx1"/>
                        </w14:solidFill>
                      </w14:textFill>
                    </w:rPr>
                    <w:t>废机油、废机油桶、废含油棉纱及手套，暂存于危废间，定期交由相应资质单位处置。</w:t>
                  </w:r>
                </w:p>
              </w:tc>
              <w:tc>
                <w:tcPr>
                  <w:tcW w:w="562" w:type="pct"/>
                  <w:tcBorders>
                    <w:tl2br w:val="nil"/>
                    <w:tr2bl w:val="nil"/>
                  </w:tcBorders>
                  <w:shd w:val="clear" w:color="auto" w:fill="auto"/>
                  <w:noWrap w:val="0"/>
                  <w:tcMar>
                    <w:top w:w="15" w:type="dxa"/>
                    <w:left w:w="15" w:type="dxa"/>
                    <w:right w:w="15" w:type="dxa"/>
                  </w:tcMar>
                  <w:vAlign w:val="center"/>
                </w:tcPr>
                <w:p w14:paraId="4054E816">
                  <w:pPr>
                    <w:spacing w:before="157" w:beforeLines="50" w:afterLines="0" w:line="360" w:lineRule="auto"/>
                    <w:jc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Cs w:val="21"/>
                      <w:highlight w:val="none"/>
                      <w:lang w:val="en-US" w:eastAsia="zh-CN"/>
                      <w14:textFill>
                        <w14:solidFill>
                          <w14:schemeClr w14:val="tx1"/>
                        </w14:solidFill>
                      </w14:textFill>
                    </w:rPr>
                    <w:t>2</w:t>
                  </w:r>
                </w:p>
              </w:tc>
            </w:tr>
            <w:tr w14:paraId="46745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4437" w:type="pct"/>
                  <w:gridSpan w:val="4"/>
                  <w:tcBorders>
                    <w:tl2br w:val="nil"/>
                    <w:tr2bl w:val="nil"/>
                  </w:tcBorders>
                  <w:shd w:val="clear" w:color="auto" w:fill="auto"/>
                  <w:noWrap w:val="0"/>
                  <w:tcMar>
                    <w:top w:w="15" w:type="dxa"/>
                    <w:left w:w="15" w:type="dxa"/>
                    <w:right w:w="15" w:type="dxa"/>
                  </w:tcMar>
                  <w:vAlign w:val="center"/>
                </w:tcPr>
                <w:p w14:paraId="38A1E1BB">
                  <w:pPr>
                    <w:spacing w:before="157" w:beforeLines="50" w:afterLines="0" w:line="360" w:lineRule="auto"/>
                    <w:ind w:firstLine="0" w:firstLineChars="0"/>
                    <w:jc w:val="center"/>
                    <w:rPr>
                      <w:rFonts w:hint="default" w:ascii="Times New Roman" w:hAnsi="Times New Roman" w:cs="Times New Roman"/>
                      <w:b/>
                      <w:bCs w:val="0"/>
                      <w:color w:val="000000" w:themeColor="text1"/>
                      <w:spacing w:val="0"/>
                      <w:kern w:val="21"/>
                      <w:position w:val="0"/>
                      <w:szCs w:val="21"/>
                      <w:highlight w:val="none"/>
                      <w14:textFill>
                        <w14:solidFill>
                          <w14:schemeClr w14:val="tx1"/>
                        </w14:solidFill>
                      </w14:textFill>
                    </w:rPr>
                  </w:pPr>
                  <w:r>
                    <w:rPr>
                      <w:rFonts w:hint="default" w:ascii="Times New Roman" w:hAnsi="Times New Roman" w:cs="Times New Roman"/>
                      <w:b/>
                      <w:bCs w:val="0"/>
                      <w:color w:val="000000" w:themeColor="text1"/>
                      <w:spacing w:val="0"/>
                      <w:kern w:val="21"/>
                      <w:position w:val="0"/>
                      <w:szCs w:val="21"/>
                      <w:highlight w:val="none"/>
                      <w:lang w:val="en-US" w:eastAsia="zh-CN"/>
                      <w14:textFill>
                        <w14:solidFill>
                          <w14:schemeClr w14:val="tx1"/>
                        </w14:solidFill>
                      </w14:textFill>
                    </w:rPr>
                    <w:t>合计</w:t>
                  </w:r>
                </w:p>
              </w:tc>
              <w:tc>
                <w:tcPr>
                  <w:tcW w:w="562" w:type="pct"/>
                  <w:tcBorders>
                    <w:tl2br w:val="nil"/>
                    <w:tr2bl w:val="nil"/>
                  </w:tcBorders>
                  <w:shd w:val="clear" w:color="auto" w:fill="auto"/>
                  <w:noWrap w:val="0"/>
                  <w:tcMar>
                    <w:top w:w="15" w:type="dxa"/>
                    <w:left w:w="15" w:type="dxa"/>
                    <w:right w:w="15" w:type="dxa"/>
                  </w:tcMar>
                  <w:vAlign w:val="center"/>
                </w:tcPr>
                <w:p w14:paraId="6344FEC5">
                  <w:pPr>
                    <w:spacing w:before="157" w:beforeLines="50" w:afterLines="0" w:line="360" w:lineRule="auto"/>
                    <w:ind w:left="0" w:leftChars="0" w:right="0" w:rightChars="0" w:firstLine="0" w:firstLineChars="0"/>
                    <w:jc w:val="center"/>
                    <w:rPr>
                      <w:rFonts w:hint="default" w:ascii="Times New Roman" w:hAnsi="Times New Roman" w:eastAsia="宋体" w:cs="Times New Roman"/>
                      <w:b/>
                      <w:bCs w:val="0"/>
                      <w:color w:val="000000" w:themeColor="text1"/>
                      <w:spacing w:val="0"/>
                      <w:kern w:val="21"/>
                      <w:position w:val="0"/>
                      <w:szCs w:val="21"/>
                      <w:highlight w:val="none"/>
                      <w:lang w:val="en-US" w:eastAsia="zh-CN"/>
                      <w14:textFill>
                        <w14:solidFill>
                          <w14:schemeClr w14:val="tx1"/>
                        </w14:solidFill>
                      </w14:textFill>
                    </w:rPr>
                  </w:pPr>
                  <w:r>
                    <w:rPr>
                      <w:rFonts w:hint="eastAsia" w:cs="Times New Roman"/>
                      <w:b/>
                      <w:bCs w:val="0"/>
                      <w:color w:val="000000" w:themeColor="text1"/>
                      <w:spacing w:val="0"/>
                      <w:kern w:val="21"/>
                      <w:position w:val="0"/>
                      <w:szCs w:val="21"/>
                      <w:highlight w:val="none"/>
                      <w:lang w:val="en-US" w:eastAsia="zh-CN"/>
                      <w14:textFill>
                        <w14:solidFill>
                          <w14:schemeClr w14:val="tx1"/>
                        </w14:solidFill>
                      </w14:textFill>
                    </w:rPr>
                    <w:t>43</w:t>
                  </w:r>
                </w:p>
              </w:tc>
            </w:tr>
          </w:tbl>
          <w:p w14:paraId="2AAAC6F1">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tc>
      </w:tr>
    </w:tbl>
    <w:p w14:paraId="0184DB51">
      <w:pPr>
        <w:keepNext w:val="0"/>
        <w:keepLines w:val="0"/>
        <w:pageBreakBefore w:val="0"/>
        <w:kinsoku/>
        <w:wordWrap/>
        <w:overflowPunct/>
        <w:bidi w:val="0"/>
        <w:adjustRightInd/>
        <w:snapToGrid/>
        <w:spacing w:beforeLines="0" w:beforeAutospacing="0" w:afterLines="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14:paraId="5D1BC836">
      <w:pPr>
        <w:pStyle w:val="30"/>
        <w:keepNext w:val="0"/>
        <w:keepLines w:val="0"/>
        <w:pageBreakBefore w:val="0"/>
        <w:kinsoku/>
        <w:wordWrap/>
        <w:overflowPunct/>
        <w:bidi w:val="0"/>
        <w:adjustRightInd/>
        <w:snapToGrid/>
        <w:spacing w:before="0" w:beforeLines="0" w:beforeAutospacing="0" w:after="0" w:afterLines="0" w:afterAutospacing="0"/>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bookmarkStart w:id="13" w:name="_Toc1187"/>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五、</w:t>
      </w:r>
      <w:bookmarkStart w:id="14" w:name="_Hlk54167917"/>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环境保护措施监督检查清单</w:t>
      </w:r>
      <w:bookmarkEnd w:id="13"/>
      <w:bookmarkEnd w:id="14"/>
    </w:p>
    <w:tbl>
      <w:tblPr>
        <w:tblStyle w:val="35"/>
        <w:tblW w:w="49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523"/>
        <w:gridCol w:w="1057"/>
        <w:gridCol w:w="1738"/>
        <w:gridCol w:w="1097"/>
        <w:gridCol w:w="2110"/>
      </w:tblGrid>
      <w:tr w14:paraId="7D0EF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tcBorders>
              <w:tl2br w:val="single" w:color="auto" w:sz="4" w:space="0"/>
            </w:tcBorders>
            <w:noWrap w:val="0"/>
            <w:vAlign w:val="top"/>
          </w:tcPr>
          <w:p w14:paraId="089EA6F3">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right"/>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内容</w:t>
            </w:r>
          </w:p>
          <w:p w14:paraId="2BFEDA49">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left"/>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要素</w:t>
            </w:r>
          </w:p>
        </w:tc>
        <w:tc>
          <w:tcPr>
            <w:tcW w:w="897" w:type="pct"/>
            <w:noWrap w:val="0"/>
            <w:vAlign w:val="center"/>
          </w:tcPr>
          <w:p w14:paraId="110053A9">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排放口</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编号、名称</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623" w:type="pct"/>
            <w:noWrap w:val="0"/>
            <w:vAlign w:val="center"/>
          </w:tcPr>
          <w:p w14:paraId="08EEAF7D">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污染物项目</w:t>
            </w:r>
          </w:p>
        </w:tc>
        <w:tc>
          <w:tcPr>
            <w:tcW w:w="1024" w:type="pct"/>
            <w:noWrap w:val="0"/>
            <w:vAlign w:val="center"/>
          </w:tcPr>
          <w:p w14:paraId="504BFDDF">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环境保护措施</w:t>
            </w:r>
          </w:p>
        </w:tc>
        <w:tc>
          <w:tcPr>
            <w:tcW w:w="1888" w:type="pct"/>
            <w:gridSpan w:val="2"/>
            <w:noWrap w:val="0"/>
            <w:vAlign w:val="center"/>
          </w:tcPr>
          <w:p w14:paraId="083067BE">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r>
      <w:tr w14:paraId="44F31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restart"/>
            <w:noWrap w:val="0"/>
            <w:vAlign w:val="center"/>
          </w:tcPr>
          <w:p w14:paraId="70CD6CD5">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大气环境</w:t>
            </w:r>
          </w:p>
        </w:tc>
        <w:tc>
          <w:tcPr>
            <w:tcW w:w="897" w:type="pct"/>
            <w:noWrap w:val="0"/>
            <w:vAlign w:val="center"/>
          </w:tcPr>
          <w:p w14:paraId="632F94F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DA001/搅拌粉尘</w:t>
            </w:r>
          </w:p>
        </w:tc>
        <w:tc>
          <w:tcPr>
            <w:tcW w:w="623" w:type="pct"/>
            <w:noWrap w:val="0"/>
            <w:vAlign w:val="center"/>
          </w:tcPr>
          <w:p w14:paraId="27F647C5">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24" w:type="pct"/>
            <w:noWrap w:val="0"/>
            <w:vAlign w:val="center"/>
          </w:tcPr>
          <w:p w14:paraId="06CD75DD">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密闭收集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+脉冲袋式除尘器装置+15m高排气筒（DA001）排放</w:t>
            </w:r>
          </w:p>
        </w:tc>
        <w:tc>
          <w:tcPr>
            <w:tcW w:w="646" w:type="pct"/>
            <w:noWrap w:val="0"/>
            <w:vAlign w:val="center"/>
          </w:tcPr>
          <w:p w14:paraId="59FABC2D">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420" w:firstLineChars="200"/>
              <w:jc w:val="both"/>
              <w:textAlignment w:val="baseline"/>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t>最高允许排放浓度10mg/m³</w:t>
            </w:r>
          </w:p>
        </w:tc>
        <w:tc>
          <w:tcPr>
            <w:tcW w:w="1241" w:type="pct"/>
            <w:noWrap w:val="0"/>
            <w:vAlign w:val="center"/>
          </w:tcPr>
          <w:p w14:paraId="428E3AB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《四川省水泥工业大气污染物排放标准》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DB51/2864-2021</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表1中颗粒物最高允许排放浓度</w:t>
            </w:r>
          </w:p>
        </w:tc>
      </w:tr>
      <w:tr w14:paraId="6C330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334AA1F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7D75A8F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DA002/1#</w:t>
            </w:r>
          </w:p>
          <w:p w14:paraId="17C7ECD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水泥筒仓</w:t>
            </w:r>
          </w:p>
        </w:tc>
        <w:tc>
          <w:tcPr>
            <w:tcW w:w="623" w:type="pct"/>
            <w:noWrap w:val="0"/>
            <w:vAlign w:val="center"/>
          </w:tcPr>
          <w:p w14:paraId="69CE1374">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024" w:type="pct"/>
            <w:noWrap w:val="0"/>
            <w:vAlign w:val="center"/>
          </w:tcPr>
          <w:p w14:paraId="40DACEF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密闭收集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+脉冲袋式除尘器装置+15m高排气筒（DA002）排放</w:t>
            </w:r>
          </w:p>
        </w:tc>
        <w:tc>
          <w:tcPr>
            <w:tcW w:w="646" w:type="pct"/>
            <w:noWrap w:val="0"/>
            <w:vAlign w:val="center"/>
          </w:tcPr>
          <w:p w14:paraId="1A871D17">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420" w:firstLineChars="200"/>
              <w:jc w:val="both"/>
              <w:textAlignment w:val="baseline"/>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最高允许排放浓度10mg/m³</w:t>
            </w:r>
          </w:p>
        </w:tc>
        <w:tc>
          <w:tcPr>
            <w:tcW w:w="1241" w:type="pct"/>
            <w:noWrap w:val="0"/>
            <w:vAlign w:val="center"/>
          </w:tcPr>
          <w:p w14:paraId="3BD08592">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《四川省水泥工业大气污染物排放标准》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DB51/2864-2021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表1中颗粒物最高允许排放浓度</w:t>
            </w:r>
          </w:p>
        </w:tc>
      </w:tr>
      <w:tr w14:paraId="5E615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0747CFD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2E8C48FB">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DA003/2#水泥筒仓</w:t>
            </w:r>
          </w:p>
        </w:tc>
        <w:tc>
          <w:tcPr>
            <w:tcW w:w="623" w:type="pct"/>
            <w:noWrap w:val="0"/>
            <w:vAlign w:val="center"/>
          </w:tcPr>
          <w:p w14:paraId="2FD00EB2">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024" w:type="pct"/>
            <w:noWrap w:val="0"/>
            <w:vAlign w:val="center"/>
          </w:tcPr>
          <w:p w14:paraId="26C3B0C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密闭收集+脉冲袋式除尘器装置+15m高排气筒（DA003）排放</w:t>
            </w:r>
          </w:p>
        </w:tc>
        <w:tc>
          <w:tcPr>
            <w:tcW w:w="646" w:type="pct"/>
            <w:noWrap w:val="0"/>
            <w:vAlign w:val="center"/>
          </w:tcPr>
          <w:p w14:paraId="7C2220AA">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420" w:firstLineChars="200"/>
              <w:jc w:val="both"/>
              <w:textAlignment w:val="baseline"/>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最高允许排放浓度10mg/m³</w:t>
            </w:r>
          </w:p>
        </w:tc>
        <w:tc>
          <w:tcPr>
            <w:tcW w:w="1241" w:type="pct"/>
            <w:noWrap w:val="0"/>
            <w:vAlign w:val="center"/>
          </w:tcPr>
          <w:p w14:paraId="75B8521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《四川省水泥工业大气污染物排放标准》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DB51/2864-2021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表1中颗粒物最高允许排放浓度</w:t>
            </w:r>
          </w:p>
        </w:tc>
      </w:tr>
      <w:tr w14:paraId="7CCEA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1870845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58D0B7A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DA004/粉煤灰筒仓</w:t>
            </w:r>
          </w:p>
        </w:tc>
        <w:tc>
          <w:tcPr>
            <w:tcW w:w="623" w:type="pct"/>
            <w:noWrap w:val="0"/>
            <w:vAlign w:val="center"/>
          </w:tcPr>
          <w:p w14:paraId="04FA567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024" w:type="pct"/>
            <w:noWrap w:val="0"/>
            <w:vAlign w:val="center"/>
          </w:tcPr>
          <w:p w14:paraId="3A467E6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密闭收集+脉冲袋式除尘器装置+15m高排气筒（DA004）排放</w:t>
            </w:r>
          </w:p>
        </w:tc>
        <w:tc>
          <w:tcPr>
            <w:tcW w:w="646" w:type="pct"/>
            <w:noWrap w:val="0"/>
            <w:vAlign w:val="center"/>
          </w:tcPr>
          <w:p w14:paraId="3502B334">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420" w:firstLineChars="200"/>
              <w:jc w:val="both"/>
              <w:textAlignment w:val="baseline"/>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最高允许排放浓度10mg/m³</w:t>
            </w:r>
          </w:p>
        </w:tc>
        <w:tc>
          <w:tcPr>
            <w:tcW w:w="1241" w:type="pct"/>
            <w:noWrap w:val="0"/>
            <w:vAlign w:val="center"/>
          </w:tcPr>
          <w:p w14:paraId="56F8563D">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《四川省水泥工业大气污染物排放标准》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DB51/2864-2021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表1中颗粒物最高允许排放浓度</w:t>
            </w:r>
          </w:p>
        </w:tc>
      </w:tr>
      <w:tr w14:paraId="44A99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7FEA0018">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2C581C64">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厂区无组织/</w:t>
            </w:r>
          </w:p>
        </w:tc>
        <w:tc>
          <w:tcPr>
            <w:tcW w:w="623" w:type="pct"/>
            <w:noWrap w:val="0"/>
            <w:vAlign w:val="center"/>
          </w:tcPr>
          <w:p w14:paraId="78D4F95E">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24" w:type="pct"/>
            <w:noWrap w:val="0"/>
            <w:vAlign w:val="center"/>
          </w:tcPr>
          <w:p w14:paraId="267DB40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喷雾抑尘、车间密闭</w:t>
            </w:r>
          </w:p>
        </w:tc>
        <w:tc>
          <w:tcPr>
            <w:tcW w:w="646" w:type="pct"/>
            <w:noWrap w:val="0"/>
            <w:vAlign w:val="center"/>
          </w:tcPr>
          <w:p w14:paraId="626301B6">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000000"/>
                <w:lang w:val="en-US" w:eastAsia="zh-CN" w:bidi="ar-SA"/>
                <w14:textFill>
                  <w14:solidFill>
                    <w14:schemeClr w14:val="tx1"/>
                  </w14:solidFill>
                </w14:textFill>
              </w:rPr>
              <w:t>0.5mg/m³</w:t>
            </w:r>
          </w:p>
        </w:tc>
        <w:tc>
          <w:tcPr>
            <w:tcW w:w="1241" w:type="pct"/>
            <w:noWrap w:val="0"/>
            <w:vAlign w:val="center"/>
          </w:tcPr>
          <w:p w14:paraId="4E8EF6E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《大气污染物综合排放标准》（GB16297-1996）无组织排放监控浓度限值</w:t>
            </w:r>
          </w:p>
        </w:tc>
      </w:tr>
      <w:tr w14:paraId="48E86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66" w:type="pct"/>
            <w:vMerge w:val="restart"/>
            <w:noWrap w:val="0"/>
            <w:vAlign w:val="center"/>
          </w:tcPr>
          <w:p w14:paraId="3FC3FF28">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w:t>
            </w:r>
          </w:p>
        </w:tc>
        <w:tc>
          <w:tcPr>
            <w:tcW w:w="897" w:type="pct"/>
            <w:noWrap w:val="0"/>
            <w:vAlign w:val="center"/>
          </w:tcPr>
          <w:p w14:paraId="5B32DC84">
            <w:pPr>
              <w:spacing w:beforeLines="0" w:afterLines="0"/>
              <w:jc w:val="center"/>
              <w:rPr>
                <w:rFonts w:hint="default" w:ascii="Times New Roman" w:hAnsi="Times New Roman" w:eastAsia="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办公生活</w:t>
            </w:r>
          </w:p>
        </w:tc>
        <w:tc>
          <w:tcPr>
            <w:tcW w:w="623" w:type="pct"/>
            <w:noWrap w:val="0"/>
            <w:vAlign w:val="center"/>
          </w:tcPr>
          <w:p w14:paraId="6D033D1D">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生活污水</w:t>
            </w:r>
          </w:p>
        </w:tc>
        <w:tc>
          <w:tcPr>
            <w:tcW w:w="1024" w:type="pct"/>
            <w:noWrap w:val="0"/>
            <w:vAlign w:val="center"/>
          </w:tcPr>
          <w:p w14:paraId="4F38F554">
            <w:pPr>
              <w:spacing w:beforeLines="0" w:afterLines="0"/>
              <w:ind w:firstLine="420" w:firstLineChars="200"/>
              <w:jc w:val="left"/>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排入</w:t>
            </w:r>
            <w:r>
              <w:rPr>
                <w:rFonts w:hint="eastAsia" w:cs="Times New Roman"/>
                <w:color w:val="000000" w:themeColor="text1"/>
                <w:sz w:val="21"/>
                <w:szCs w:val="21"/>
                <w:highlight w:val="none"/>
                <w:lang w:eastAsia="zh-CN"/>
                <w14:textFill>
                  <w14:solidFill>
                    <w14:schemeClr w14:val="tx1"/>
                  </w14:solidFill>
                </w14:textFill>
              </w:rPr>
              <w:t>预处理池</w:t>
            </w:r>
            <w:r>
              <w:rPr>
                <w:rFonts w:hint="default" w:ascii="Times New Roman" w:hAnsi="Times New Roman" w:eastAsia="宋体" w:cs="Times New Roman"/>
                <w:color w:val="000000" w:themeColor="text1"/>
                <w:sz w:val="21"/>
                <w:szCs w:val="21"/>
                <w:highlight w:val="none"/>
                <w14:textFill>
                  <w14:solidFill>
                    <w14:schemeClr w14:val="tx1"/>
                  </w14:solidFill>
                </w14:textFill>
              </w:rPr>
              <w:t>，进入甘孜县县城污水处理厂</w:t>
            </w:r>
          </w:p>
        </w:tc>
        <w:tc>
          <w:tcPr>
            <w:tcW w:w="1888" w:type="pct"/>
            <w:gridSpan w:val="2"/>
            <w:vMerge w:val="restart"/>
            <w:noWrap w:val="0"/>
            <w:vAlign w:val="center"/>
          </w:tcPr>
          <w:p w14:paraId="7996DC8A">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《污水综合排放标准》（GB 8978-1996）三级标准，氨氮、总磷执行《污水排入城镇下水道水质标准》（GB/T31962-2015）</w:t>
            </w:r>
          </w:p>
        </w:tc>
      </w:tr>
      <w:tr w14:paraId="13179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7BD0263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45576E14">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食堂</w:t>
            </w:r>
          </w:p>
        </w:tc>
        <w:tc>
          <w:tcPr>
            <w:tcW w:w="623" w:type="pct"/>
            <w:noWrap w:val="0"/>
            <w:vAlign w:val="center"/>
          </w:tcPr>
          <w:p w14:paraId="60C2840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食堂废水</w:t>
            </w:r>
          </w:p>
        </w:tc>
        <w:tc>
          <w:tcPr>
            <w:tcW w:w="1024" w:type="pct"/>
            <w:noWrap w:val="0"/>
            <w:vAlign w:val="center"/>
          </w:tcPr>
          <w:p w14:paraId="3012CD45">
            <w:pPr>
              <w:spacing w:beforeLines="0" w:afterLines="0"/>
              <w:ind w:firstLine="420" w:firstLineChars="200"/>
              <w:jc w:val="left"/>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隔油器隔油处理后，排入</w:t>
            </w:r>
            <w:r>
              <w:rPr>
                <w:rFonts w:hint="eastAsia" w:cs="Times New Roman"/>
                <w:color w:val="000000" w:themeColor="text1"/>
                <w:sz w:val="21"/>
                <w:szCs w:val="21"/>
                <w:highlight w:val="none"/>
                <w:lang w:eastAsia="zh-CN"/>
                <w14:textFill>
                  <w14:solidFill>
                    <w14:schemeClr w14:val="tx1"/>
                  </w14:solidFill>
                </w14:textFill>
              </w:rPr>
              <w:t>预处理池</w:t>
            </w:r>
            <w:r>
              <w:rPr>
                <w:rFonts w:hint="default" w:ascii="Times New Roman" w:hAnsi="Times New Roman" w:eastAsia="宋体" w:cs="Times New Roman"/>
                <w:color w:val="000000" w:themeColor="text1"/>
                <w:sz w:val="21"/>
                <w:szCs w:val="21"/>
                <w:highlight w:val="none"/>
                <w14:textFill>
                  <w14:solidFill>
                    <w14:schemeClr w14:val="tx1"/>
                  </w14:solidFill>
                </w14:textFill>
              </w:rPr>
              <w:t>，进入甘孜县县城污水处理厂</w:t>
            </w:r>
          </w:p>
        </w:tc>
        <w:tc>
          <w:tcPr>
            <w:tcW w:w="1888" w:type="pct"/>
            <w:gridSpan w:val="2"/>
            <w:vMerge w:val="continue"/>
            <w:noWrap w:val="0"/>
            <w:vAlign w:val="center"/>
          </w:tcPr>
          <w:p w14:paraId="60E9EEB1">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5145F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4B0D82DC">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2FE2E9CB">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产品配比</w:t>
            </w:r>
          </w:p>
        </w:tc>
        <w:tc>
          <w:tcPr>
            <w:tcW w:w="623" w:type="pct"/>
            <w:noWrap w:val="0"/>
            <w:vAlign w:val="center"/>
          </w:tcPr>
          <w:p w14:paraId="26B7CD8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产品配比水</w:t>
            </w:r>
          </w:p>
        </w:tc>
        <w:tc>
          <w:tcPr>
            <w:tcW w:w="1024" w:type="pct"/>
            <w:noWrap w:val="0"/>
            <w:vAlign w:val="center"/>
          </w:tcPr>
          <w:p w14:paraId="43D27475">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进入产品</w:t>
            </w:r>
          </w:p>
        </w:tc>
        <w:tc>
          <w:tcPr>
            <w:tcW w:w="1888" w:type="pct"/>
            <w:gridSpan w:val="2"/>
            <w:vMerge w:val="restart"/>
            <w:noWrap w:val="0"/>
            <w:vAlign w:val="center"/>
          </w:tcPr>
          <w:p w14:paraId="68CF01A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不外排</w:t>
            </w:r>
          </w:p>
        </w:tc>
      </w:tr>
      <w:tr w14:paraId="796D1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7D88931C">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07CB6FCB">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成品罐车清洗</w:t>
            </w:r>
          </w:p>
        </w:tc>
        <w:tc>
          <w:tcPr>
            <w:tcW w:w="623" w:type="pct"/>
            <w:noWrap w:val="0"/>
            <w:vAlign w:val="center"/>
          </w:tcPr>
          <w:p w14:paraId="3C1B2581">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成品罐车清洗废水</w:t>
            </w:r>
          </w:p>
        </w:tc>
        <w:tc>
          <w:tcPr>
            <w:tcW w:w="1024" w:type="pct"/>
            <w:noWrap w:val="0"/>
            <w:vAlign w:val="center"/>
          </w:tcPr>
          <w:p w14:paraId="792A2A6B">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厂内三级沉淀池处理后回用</w:t>
            </w:r>
          </w:p>
        </w:tc>
        <w:tc>
          <w:tcPr>
            <w:tcW w:w="1888" w:type="pct"/>
            <w:gridSpan w:val="2"/>
            <w:vMerge w:val="continue"/>
            <w:noWrap w:val="0"/>
            <w:vAlign w:val="center"/>
          </w:tcPr>
          <w:p w14:paraId="11478AD5">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430DB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2F4B934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1E2C4B43">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运输车辆轮胎冲洗</w:t>
            </w:r>
          </w:p>
        </w:tc>
        <w:tc>
          <w:tcPr>
            <w:tcW w:w="623" w:type="pct"/>
            <w:noWrap w:val="0"/>
            <w:vAlign w:val="center"/>
          </w:tcPr>
          <w:p w14:paraId="07A7C59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运输车辆轮胎冲洗废水</w:t>
            </w:r>
          </w:p>
        </w:tc>
        <w:tc>
          <w:tcPr>
            <w:tcW w:w="1024" w:type="pct"/>
            <w:noWrap w:val="0"/>
            <w:vAlign w:val="center"/>
          </w:tcPr>
          <w:p w14:paraId="357BC4EF">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厂内三级沉淀池处理后回用</w:t>
            </w:r>
          </w:p>
        </w:tc>
        <w:tc>
          <w:tcPr>
            <w:tcW w:w="1888" w:type="pct"/>
            <w:gridSpan w:val="2"/>
            <w:vMerge w:val="continue"/>
            <w:noWrap w:val="0"/>
            <w:vAlign w:val="center"/>
          </w:tcPr>
          <w:p w14:paraId="32F0DD12">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5DBB7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2C5AAE19">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1FB87C2F">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搅拌设备清洗</w:t>
            </w:r>
          </w:p>
        </w:tc>
        <w:tc>
          <w:tcPr>
            <w:tcW w:w="623" w:type="pct"/>
            <w:noWrap w:val="0"/>
            <w:vAlign w:val="center"/>
          </w:tcPr>
          <w:p w14:paraId="5E6E41C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搅拌设备清洗废水</w:t>
            </w:r>
          </w:p>
        </w:tc>
        <w:tc>
          <w:tcPr>
            <w:tcW w:w="1024" w:type="pct"/>
            <w:noWrap w:val="0"/>
            <w:vAlign w:val="center"/>
          </w:tcPr>
          <w:p w14:paraId="3F4E84E7">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厂内三级沉淀池处理后回用</w:t>
            </w:r>
          </w:p>
        </w:tc>
        <w:tc>
          <w:tcPr>
            <w:tcW w:w="1888" w:type="pct"/>
            <w:gridSpan w:val="2"/>
            <w:vMerge w:val="continue"/>
            <w:noWrap w:val="0"/>
            <w:vAlign w:val="center"/>
          </w:tcPr>
          <w:p w14:paraId="1B9A071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6D6E3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7CC33F4C">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1A9C1842">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地面冲洗</w:t>
            </w:r>
          </w:p>
        </w:tc>
        <w:tc>
          <w:tcPr>
            <w:tcW w:w="623" w:type="pct"/>
            <w:noWrap w:val="0"/>
            <w:vAlign w:val="center"/>
          </w:tcPr>
          <w:p w14:paraId="68C9A3E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地面冲洗废水</w:t>
            </w:r>
          </w:p>
        </w:tc>
        <w:tc>
          <w:tcPr>
            <w:tcW w:w="1024" w:type="pct"/>
            <w:noWrap w:val="0"/>
            <w:vAlign w:val="center"/>
          </w:tcPr>
          <w:p w14:paraId="1261C6E9">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厂内三级沉淀池处理后回用</w:t>
            </w:r>
          </w:p>
        </w:tc>
        <w:tc>
          <w:tcPr>
            <w:tcW w:w="1888" w:type="pct"/>
            <w:gridSpan w:val="2"/>
            <w:vMerge w:val="continue"/>
            <w:noWrap w:val="0"/>
            <w:vAlign w:val="center"/>
          </w:tcPr>
          <w:p w14:paraId="2D3A51F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45378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2D87DCFB">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6C810BF8">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喷雾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降尘</w:t>
            </w:r>
          </w:p>
        </w:tc>
        <w:tc>
          <w:tcPr>
            <w:tcW w:w="623" w:type="pct"/>
            <w:noWrap w:val="0"/>
            <w:vAlign w:val="center"/>
          </w:tcPr>
          <w:p w14:paraId="4752401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喷雾降尘水</w:t>
            </w:r>
          </w:p>
        </w:tc>
        <w:tc>
          <w:tcPr>
            <w:tcW w:w="1024" w:type="pct"/>
            <w:noWrap w:val="0"/>
            <w:vAlign w:val="center"/>
          </w:tcPr>
          <w:p w14:paraId="2EDAE99D">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蒸发消耗</w:t>
            </w:r>
          </w:p>
        </w:tc>
        <w:tc>
          <w:tcPr>
            <w:tcW w:w="1888" w:type="pct"/>
            <w:gridSpan w:val="2"/>
            <w:vMerge w:val="continue"/>
            <w:noWrap w:val="0"/>
            <w:vAlign w:val="center"/>
          </w:tcPr>
          <w:p w14:paraId="4ED21E11">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483DB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center"/>
          </w:tcPr>
          <w:p w14:paraId="32FE1CF1">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97" w:type="pct"/>
            <w:noWrap w:val="0"/>
            <w:vAlign w:val="center"/>
          </w:tcPr>
          <w:p w14:paraId="1CCB2023">
            <w:pPr>
              <w:spacing w:beforeLines="0" w:afterLine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洒水降尘</w:t>
            </w:r>
          </w:p>
        </w:tc>
        <w:tc>
          <w:tcPr>
            <w:tcW w:w="623" w:type="pct"/>
            <w:noWrap w:val="0"/>
            <w:vAlign w:val="center"/>
          </w:tcPr>
          <w:p w14:paraId="71E340CA">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洒水降尘水</w:t>
            </w:r>
          </w:p>
        </w:tc>
        <w:tc>
          <w:tcPr>
            <w:tcW w:w="1024" w:type="pct"/>
            <w:noWrap w:val="0"/>
            <w:vAlign w:val="center"/>
          </w:tcPr>
          <w:p w14:paraId="7C2240BF">
            <w:pPr>
              <w:spacing w:beforeLines="0" w:afterLines="0"/>
              <w:ind w:firstLine="0" w:firstLineChars="0"/>
              <w:jc w:val="center"/>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蒸发消耗</w:t>
            </w:r>
          </w:p>
        </w:tc>
        <w:tc>
          <w:tcPr>
            <w:tcW w:w="1888" w:type="pct"/>
            <w:gridSpan w:val="2"/>
            <w:vMerge w:val="continue"/>
            <w:noWrap w:val="0"/>
            <w:vAlign w:val="center"/>
          </w:tcPr>
          <w:p w14:paraId="73FAF18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14A60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51F02F5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w:t>
            </w:r>
          </w:p>
        </w:tc>
        <w:tc>
          <w:tcPr>
            <w:tcW w:w="897" w:type="pct"/>
            <w:noWrap w:val="0"/>
            <w:vAlign w:val="center"/>
          </w:tcPr>
          <w:p w14:paraId="7324FE3F">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t>厂界</w:t>
            </w:r>
          </w:p>
        </w:tc>
        <w:tc>
          <w:tcPr>
            <w:tcW w:w="623" w:type="pct"/>
            <w:noWrap w:val="0"/>
            <w:vAlign w:val="center"/>
          </w:tcPr>
          <w:p w14:paraId="30FBF002">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等效A声级</w:t>
            </w:r>
          </w:p>
        </w:tc>
        <w:tc>
          <w:tcPr>
            <w:tcW w:w="1024" w:type="pct"/>
            <w:noWrap w:val="0"/>
            <w:vAlign w:val="center"/>
          </w:tcPr>
          <w:p w14:paraId="49262864">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t>厂房隔声、基础减振、距离衰减</w:t>
            </w:r>
          </w:p>
        </w:tc>
        <w:tc>
          <w:tcPr>
            <w:tcW w:w="646" w:type="pct"/>
            <w:noWrap w:val="0"/>
            <w:vAlign w:val="center"/>
          </w:tcPr>
          <w:p w14:paraId="41DB7115">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昼间：60dB（A）</w:t>
            </w:r>
          </w:p>
          <w:p w14:paraId="7BDE4AC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夜间：50dB（A）</w:t>
            </w:r>
          </w:p>
        </w:tc>
        <w:tc>
          <w:tcPr>
            <w:tcW w:w="1241" w:type="pct"/>
            <w:noWrap w:val="0"/>
            <w:vAlign w:val="center"/>
          </w:tcPr>
          <w:p w14:paraId="7D749274">
            <w:pPr>
              <w:keepNext w:val="0"/>
              <w:keepLines w:val="0"/>
              <w:pageBreakBefore w:val="0"/>
              <w:widowControl/>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《工业企业厂界环境噪声排放标准》GB12348-2008）2类</w:t>
            </w:r>
            <w:r>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t>标准</w:t>
            </w:r>
          </w:p>
        </w:tc>
      </w:tr>
      <w:tr w14:paraId="6E57A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00EE303C">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电磁辐射</w:t>
            </w:r>
          </w:p>
        </w:tc>
        <w:tc>
          <w:tcPr>
            <w:tcW w:w="897" w:type="pct"/>
            <w:noWrap w:val="0"/>
            <w:vAlign w:val="center"/>
          </w:tcPr>
          <w:p w14:paraId="1DA21DD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23" w:type="pct"/>
            <w:noWrap w:val="0"/>
            <w:vAlign w:val="center"/>
          </w:tcPr>
          <w:p w14:paraId="0959AB5B">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024" w:type="pct"/>
            <w:noWrap w:val="0"/>
            <w:vAlign w:val="center"/>
          </w:tcPr>
          <w:p w14:paraId="5AF34A0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888" w:type="pct"/>
            <w:gridSpan w:val="2"/>
            <w:noWrap w:val="0"/>
            <w:vAlign w:val="center"/>
          </w:tcPr>
          <w:p w14:paraId="7E18AD6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43AEA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15453BA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4433" w:type="pct"/>
            <w:gridSpan w:val="5"/>
            <w:noWrap w:val="0"/>
            <w:vAlign w:val="center"/>
          </w:tcPr>
          <w:p w14:paraId="35C8ABF4">
            <w:pPr>
              <w:keepLines w:val="0"/>
              <w:pageBreakBefore w:val="0"/>
              <w:kinsoku/>
              <w:bidi w:val="0"/>
              <w:snapToGrid/>
              <w:spacing w:beforeLines="0" w:afterLines="0"/>
              <w:ind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项目在营运期的生产固废主要为沉淀池污泥、除尘器除尘灰、混凝土废料、废机油、废机油桶、废含油棉纱及手套、生活垃圾。</w:t>
            </w:r>
          </w:p>
          <w:p w14:paraId="4E2838AB">
            <w:pPr>
              <w:keepLines w:val="0"/>
              <w:pageBreakBefore w:val="0"/>
              <w:kinsoku/>
              <w:bidi w:val="0"/>
              <w:snapToGrid/>
              <w:spacing w:beforeLines="0" w:afterLines="0"/>
              <w:ind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生活垃圾由环卫部门统一清运处理。除尘器除尘灰收集后，作为原料回到生产线，回用于生产。沉淀池污泥，混凝土废料外售建材厂综合利用。</w:t>
            </w:r>
          </w:p>
          <w:p w14:paraId="7EF2819D">
            <w:pPr>
              <w:keepLines w:val="0"/>
              <w:pageBreakBefore w:val="0"/>
              <w:kinsoku/>
              <w:bidi w:val="0"/>
              <w:snapToGrid/>
              <w:spacing w:beforeLines="0" w:afterLines="0"/>
              <w:ind w:firstLine="420" w:firstLineChars="200"/>
              <w:jc w:val="both"/>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废机油、废机油桶、废含油棉纱及手套，暂存于危废间，定期交由相应资质单位处置。</w:t>
            </w:r>
          </w:p>
        </w:tc>
      </w:tr>
      <w:tr w14:paraId="1EA9A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5B2F5FC0">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土壤及地下水污染防治措施</w:t>
            </w:r>
          </w:p>
        </w:tc>
        <w:tc>
          <w:tcPr>
            <w:tcW w:w="4433" w:type="pct"/>
            <w:gridSpan w:val="5"/>
            <w:noWrap w:val="0"/>
            <w:vAlign w:val="center"/>
          </w:tcPr>
          <w:p w14:paraId="018198CF">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采取源头控制措施和分区防渗，危废暂存间</w:t>
            </w:r>
            <w:r>
              <w:rPr>
                <w:rFonts w:hint="eastAsia" w:cs="Times New Roman"/>
                <w:color w:val="000000" w:themeColor="text1"/>
                <w:szCs w:val="21"/>
                <w:highlight w:val="none"/>
                <w:lang w:val="en-US" w:eastAsia="zh-CN"/>
                <w14:textFill>
                  <w14:solidFill>
                    <w14:schemeClr w14:val="tx1"/>
                  </w14:solidFill>
                </w14:textFill>
              </w:rPr>
              <w:t>、机油库房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为重点防渗区，碎石堆场、砂堆场、洗车区、三级沉淀池、初期雨水池、一般固废间为一般防渗区，办公，道路等区域为简单防渗区。</w:t>
            </w:r>
          </w:p>
        </w:tc>
      </w:tr>
      <w:tr w14:paraId="1FE7E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4E120FDD">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生态保护措施</w:t>
            </w:r>
          </w:p>
        </w:tc>
        <w:tc>
          <w:tcPr>
            <w:tcW w:w="4433" w:type="pct"/>
            <w:gridSpan w:val="5"/>
            <w:noWrap w:val="0"/>
            <w:vAlign w:val="center"/>
          </w:tcPr>
          <w:p w14:paraId="2FC8B10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产业园区外建设。项目所在区域人员频繁活动区，未发现国家级保护动物，野生动植物为一些鸟类、昆虫及小型哺乳类、爬行类动物。根据调查，项目用地范围周边无生态环境保护目标，因此项目建设对生态环境影响很小。</w:t>
            </w:r>
          </w:p>
        </w:tc>
      </w:tr>
      <w:tr w14:paraId="6116B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0F0DFC28">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环境风险防范措施</w:t>
            </w:r>
          </w:p>
        </w:tc>
        <w:tc>
          <w:tcPr>
            <w:tcW w:w="4433" w:type="pct"/>
            <w:gridSpan w:val="5"/>
            <w:noWrap w:val="0"/>
            <w:vAlign w:val="center"/>
          </w:tcPr>
          <w:p w14:paraId="36E8B7B3">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ind w:firstLine="420" w:firstLineChars="200"/>
              <w:jc w:val="both"/>
              <w:rPr>
                <w:rFonts w:hint="default" w:ascii="Times New Roman" w:hAnsi="Times New Roman" w:eastAsia="宋体" w:cs="Times New Roman"/>
                <w:bCs/>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1"/>
                <w:szCs w:val="21"/>
                <w:highlight w:val="none"/>
                <w:lang w:val="en-US" w:eastAsia="zh-CN" w:bidi="ar-SA"/>
                <w14:textFill>
                  <w14:solidFill>
                    <w14:schemeClr w14:val="tx1"/>
                  </w14:solidFill>
                </w14:textFill>
              </w:rPr>
              <w:t>危险废物分类收集，厂区分区防渗；加强安全管理，建立完善的管理制度，制定完善的环境风险应急预案等。</w:t>
            </w:r>
          </w:p>
        </w:tc>
      </w:tr>
      <w:tr w14:paraId="392E0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noWrap w:val="0"/>
            <w:vAlign w:val="center"/>
          </w:tcPr>
          <w:p w14:paraId="0B3F2714">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其他环境管理要求</w:t>
            </w:r>
          </w:p>
        </w:tc>
        <w:tc>
          <w:tcPr>
            <w:tcW w:w="4433" w:type="pct"/>
            <w:gridSpan w:val="5"/>
            <w:noWrap w:val="0"/>
            <w:vAlign w:val="center"/>
          </w:tcPr>
          <w:p w14:paraId="3A71D6A9">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240" w:lineRule="auto"/>
              <w:ind w:firstLine="420" w:firstLineChars="200"/>
              <w:rPr>
                <w:rFonts w:hint="default" w:ascii="Times New Roman" w:hAnsi="Times New Roman" w:eastAsia="宋体" w:cs="Times New Roman"/>
                <w:bCs/>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sz w:val="21"/>
                <w:szCs w:val="21"/>
                <w:highlight w:val="none"/>
                <w:lang w:eastAsia="zh-CN"/>
                <w14:textFill>
                  <w14:solidFill>
                    <w14:schemeClr w14:val="tx1"/>
                  </w14:solidFill>
                </w14:textFill>
              </w:rPr>
              <w:t>根据</w:t>
            </w:r>
            <w:r>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t>《排污单位自行监测技术指南 总则》</w:t>
            </w:r>
            <w:r>
              <w:rPr>
                <w:rFonts w:hint="default" w:ascii="Times New Roman" w:hAnsi="Times New Roman" w:eastAsia="宋体" w:cs="Times New Roman"/>
                <w:bCs/>
                <w:snapToGrid w:val="0"/>
                <w:color w:val="000000" w:themeColor="text1"/>
                <w:sz w:val="21"/>
                <w:szCs w:val="21"/>
                <w:highlight w:val="none"/>
                <w:lang w:eastAsia="zh-CN"/>
                <w14:textFill>
                  <w14:solidFill>
                    <w14:schemeClr w14:val="tx1"/>
                  </w14:solidFill>
                </w14:textFill>
              </w:rPr>
              <w:t>（HJ 819-2017）等要求及本项目特点进行监测，按排污许可相关要求进行排污，遵守《排污许可管理条例》相关法律法规及生态环境保护管理要求。</w:t>
            </w:r>
          </w:p>
        </w:tc>
      </w:tr>
    </w:tbl>
    <w:p w14:paraId="632FB4D9">
      <w:pPr>
        <w:pStyle w:val="30"/>
        <w:keepNext w:val="0"/>
        <w:keepLines w:val="0"/>
        <w:pageBreakBefore w:val="0"/>
        <w:kinsoku/>
        <w:wordWrap/>
        <w:overflowPunct/>
        <w:bidi w:val="0"/>
        <w:adjustRightInd/>
        <w:snapToGrid/>
        <w:spacing w:before="0" w:beforeLines="0" w:beforeAutospacing="0" w:after="0" w:afterLines="0" w:afterAutospacing="0"/>
        <w:jc w:val="center"/>
        <w:outlineLvl w:val="0"/>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b/>
          <w:bCs/>
          <w:snapToGrid w:val="0"/>
          <w:color w:val="000000" w:themeColor="text1"/>
          <w:highlight w:val="none"/>
          <w14:textFill>
            <w14:solidFill>
              <w14:schemeClr w14:val="tx1"/>
            </w14:solidFill>
          </w14:textFill>
        </w:rPr>
        <w:br w:type="page"/>
      </w:r>
      <w:bookmarkStart w:id="15" w:name="_Toc4529"/>
      <w:r>
        <w:rPr>
          <w:rFonts w:hint="default" w:ascii="Times New Roman" w:hAnsi="Times New Roman" w:eastAsia="宋体" w:cs="Times New Roman"/>
          <w:b/>
          <w:bCs/>
          <w:snapToGrid w:val="0"/>
          <w:color w:val="000000" w:themeColor="text1"/>
          <w:sz w:val="30"/>
          <w:szCs w:val="30"/>
          <w:highlight w:val="none"/>
          <w14:textFill>
            <w14:solidFill>
              <w14:schemeClr w14:val="tx1"/>
            </w14:solidFill>
          </w14:textFill>
        </w:rPr>
        <w:t>六、结论</w:t>
      </w:r>
      <w:bookmarkEnd w:id="15"/>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4C5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7" w:hRule="atLeast"/>
          <w:jc w:val="center"/>
        </w:trPr>
        <w:tc>
          <w:tcPr>
            <w:tcW w:w="5000" w:type="pct"/>
            <w:noWrap w:val="0"/>
            <w:vAlign w:val="top"/>
          </w:tcPr>
          <w:p w14:paraId="26D98114">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本项目拟采取的污染物治理措施经济、技术可行，措施有效。项目在营运期间只要严格按照本报告表所提出的污染防治对策，并加强内部环境管理，落实废气、废水、噪声、固废等治理措施，确保各项污染物达标排放，实现环境保护设施的有效运行，从环境保护的角度考虑，评价认为，本项目建设是可行。</w:t>
            </w:r>
          </w:p>
          <w:p w14:paraId="4C97EC1E">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78E2FC7B">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4048B2E7">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46A7A5BF">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55D51116">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68C95A30">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1F4D625A">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7555B12F">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16BD7A82">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4B5A4706">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1E3FD98B">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27972008">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77CA4AB3">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6D335DDE">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0307DF1E">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340C56F7">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7BA09874">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4EB13038">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233068D6">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3BBB7CF0">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p>
          <w:p w14:paraId="3E35AFDE">
            <w:pPr>
              <w:keepNext w:val="0"/>
              <w:keepLines w:val="0"/>
              <w:pageBreakBefore w:val="0"/>
              <w:widowControl w:val="0"/>
              <w:kinsoku/>
              <w:wordWrap/>
              <w:overflowPunct/>
              <w:bidi w:val="0"/>
              <w:adjustRightInd/>
              <w:snapToGrid/>
              <w:spacing w:beforeLines="0" w:beforeAutospacing="0" w:afterLines="0" w:afterAutospacing="0" w:line="480" w:lineRule="atLeast"/>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 xml:space="preserve"> </w:t>
            </w:r>
          </w:p>
        </w:tc>
      </w:tr>
    </w:tbl>
    <w:p w14:paraId="1FF1FBC2">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14:paraId="5A1C8010">
      <w:pPr>
        <w:pStyle w:val="3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textAlignment w:val="auto"/>
        <w:outlineLvl w:val="0"/>
        <w:rPr>
          <w:rFonts w:hint="default" w:ascii="Times New Roman" w:hAnsi="Times New Roman" w:eastAsia="宋体" w:cs="Times New Roman"/>
          <w:b/>
          <w:bCs/>
          <w:snapToGrid w:val="0"/>
          <w:color w:val="000000" w:themeColor="text1"/>
          <w:sz w:val="32"/>
          <w:szCs w:val="32"/>
          <w:highlight w:val="none"/>
          <w14:textFill>
            <w14:solidFill>
              <w14:schemeClr w14:val="tx1"/>
            </w14:solidFill>
          </w14:textFill>
        </w:rPr>
      </w:pPr>
      <w:bookmarkStart w:id="16" w:name="_Toc26708"/>
      <w:bookmarkStart w:id="17" w:name="_Toc30829"/>
      <w:r>
        <w:rPr>
          <w:rFonts w:hint="default" w:ascii="Times New Roman" w:hAnsi="Times New Roman" w:eastAsia="宋体" w:cs="Times New Roman"/>
          <w:b/>
          <w:bCs/>
          <w:snapToGrid w:val="0"/>
          <w:color w:val="000000" w:themeColor="text1"/>
          <w:sz w:val="32"/>
          <w:szCs w:val="32"/>
          <w:highlight w:val="none"/>
          <w14:textFill>
            <w14:solidFill>
              <w14:schemeClr w14:val="tx1"/>
            </w14:solidFill>
          </w14:textFill>
        </w:rPr>
        <w:t>附表</w:t>
      </w:r>
      <w:bookmarkEnd w:id="16"/>
      <w:bookmarkEnd w:id="17"/>
    </w:p>
    <w:p w14:paraId="4C9462F4">
      <w:pPr>
        <w:pStyle w:val="30"/>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center"/>
        <w:textAlignment w:val="auto"/>
        <w:outlineLvl w:val="0"/>
        <w:rPr>
          <w:rFonts w:hint="default" w:ascii="Times New Roman" w:hAnsi="Times New Roman" w:eastAsia="宋体" w:cs="Times New Roman"/>
          <w:b/>
          <w:bCs/>
          <w:snapToGrid w:val="0"/>
          <w:color w:val="000000" w:themeColor="text1"/>
          <w:sz w:val="38"/>
          <w:szCs w:val="38"/>
          <w:highlight w:val="none"/>
          <w14:textFill>
            <w14:solidFill>
              <w14:schemeClr w14:val="tx1"/>
            </w14:solidFill>
          </w14:textFill>
        </w:rPr>
      </w:pPr>
      <w:bookmarkStart w:id="18" w:name="_Toc8304"/>
      <w:bookmarkStart w:id="19" w:name="_Toc24251"/>
      <w:r>
        <w:rPr>
          <w:rFonts w:hint="default" w:ascii="Times New Roman" w:hAnsi="Times New Roman" w:eastAsia="宋体" w:cs="Times New Roman"/>
          <w:b/>
          <w:bCs/>
          <w:snapToGrid w:val="0"/>
          <w:color w:val="000000" w:themeColor="text1"/>
          <w:sz w:val="38"/>
          <w:szCs w:val="38"/>
          <w:highlight w:val="none"/>
          <w14:textFill>
            <w14:solidFill>
              <w14:schemeClr w14:val="tx1"/>
            </w14:solidFill>
          </w14:textFill>
        </w:rPr>
        <w:t>建设项目污染物排放量汇总表</w:t>
      </w:r>
      <w:r>
        <w:rPr>
          <w:rFonts w:hint="default" w:ascii="Times New Roman" w:hAnsi="Times New Roman" w:eastAsia="宋体" w:cs="Times New Roman"/>
          <w:b/>
          <w:bCs/>
          <w:snapToGrid w:val="0"/>
          <w:color w:val="000000" w:themeColor="text1"/>
          <w:sz w:val="38"/>
          <w:szCs w:val="38"/>
          <w:highlight w:val="none"/>
          <w:lang w:val="en-US" w:eastAsia="zh-CN"/>
          <w14:textFill>
            <w14:solidFill>
              <w14:schemeClr w14:val="tx1"/>
            </w14:solidFill>
          </w14:textFill>
        </w:rPr>
        <w:t xml:space="preserve">   （t/a）</w:t>
      </w:r>
      <w:bookmarkEnd w:id="18"/>
      <w:bookmarkEnd w:id="19"/>
    </w:p>
    <w:tbl>
      <w:tblPr>
        <w:tblStyle w:val="35"/>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831"/>
        <w:gridCol w:w="1246"/>
        <w:gridCol w:w="1020"/>
        <w:gridCol w:w="1586"/>
        <w:gridCol w:w="1453"/>
        <w:gridCol w:w="1642"/>
        <w:gridCol w:w="1829"/>
        <w:gridCol w:w="1186"/>
      </w:tblGrid>
      <w:tr w14:paraId="29C8B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tcBorders>
              <w:tl2br w:val="single" w:color="auto" w:sz="4" w:space="0"/>
            </w:tcBorders>
            <w:noWrap w:val="0"/>
            <w:tcMar>
              <w:left w:w="28" w:type="dxa"/>
              <w:right w:w="28" w:type="dxa"/>
            </w:tcMar>
            <w:vAlign w:val="center"/>
          </w:tcPr>
          <w:p w14:paraId="43C11A4F">
            <w:pPr>
              <w:pStyle w:val="64"/>
              <w:keepNext w:val="0"/>
              <w:keepLines w:val="0"/>
              <w:pageBreakBefore w:val="0"/>
              <w:kinsoku/>
              <w:wordWrap/>
              <w:overflowPunct/>
              <w:bidi w:val="0"/>
              <w:adjustRightInd/>
              <w:snapToGrid/>
              <w:spacing w:beforeLines="0" w:beforeAutospacing="0" w:afterLines="0" w:afterAutospacing="0" w:line="240" w:lineRule="auto"/>
              <w:jc w:val="right"/>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项目</w:t>
            </w:r>
          </w:p>
          <w:p w14:paraId="3493B660">
            <w:pPr>
              <w:pStyle w:val="64"/>
              <w:keepNext w:val="0"/>
              <w:keepLines w:val="0"/>
              <w:pageBreakBefore w:val="0"/>
              <w:kinsoku/>
              <w:wordWrap/>
              <w:overflowPunct/>
              <w:bidi w:val="0"/>
              <w:adjustRightInd/>
              <w:snapToGrid/>
              <w:spacing w:beforeLines="0" w:beforeAutospacing="0" w:afterLines="0" w:afterAutospacing="0" w:line="240" w:lineRule="auto"/>
              <w:jc w:val="left"/>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分类</w:t>
            </w:r>
          </w:p>
        </w:tc>
        <w:tc>
          <w:tcPr>
            <w:tcW w:w="689" w:type="pct"/>
            <w:noWrap w:val="0"/>
            <w:tcMar>
              <w:left w:w="28" w:type="dxa"/>
              <w:right w:w="28" w:type="dxa"/>
            </w:tcMar>
            <w:vAlign w:val="center"/>
          </w:tcPr>
          <w:p w14:paraId="14AF8B1C">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污染物名称</w:t>
            </w:r>
          </w:p>
        </w:tc>
        <w:tc>
          <w:tcPr>
            <w:tcW w:w="469" w:type="pct"/>
            <w:noWrap w:val="0"/>
            <w:tcMar>
              <w:left w:w="28" w:type="dxa"/>
              <w:right w:w="28" w:type="dxa"/>
            </w:tcMar>
            <w:vAlign w:val="center"/>
          </w:tcPr>
          <w:p w14:paraId="0617581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现有工程</w:t>
            </w:r>
          </w:p>
          <w:p w14:paraId="48E2F11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①</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384" w:type="pct"/>
            <w:noWrap w:val="0"/>
            <w:tcMar>
              <w:left w:w="28" w:type="dxa"/>
              <w:right w:w="28" w:type="dxa"/>
            </w:tcMar>
            <w:vAlign w:val="center"/>
          </w:tcPr>
          <w:p w14:paraId="40E866A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现有工程</w:t>
            </w:r>
          </w:p>
          <w:p w14:paraId="07558C2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许可排放量</w:t>
            </w:r>
          </w:p>
          <w:p w14:paraId="0FA86521">
            <w:pPr>
              <w:pStyle w:val="64"/>
              <w:keepNext w:val="0"/>
              <w:keepLines w:val="0"/>
              <w:pageBreakBefore w:val="0"/>
              <w:kinsoku/>
              <w:wordWrap/>
              <w:overflowPunct/>
              <w:bidi w:val="0"/>
              <w:adjustRightInd/>
              <w:snapToGrid/>
              <w:spacing w:beforeLines="0" w:beforeAutospacing="0" w:afterLines="0" w:afterAutospacing="0"/>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②</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597" w:type="pct"/>
            <w:noWrap w:val="0"/>
            <w:tcMar>
              <w:left w:w="28" w:type="dxa"/>
              <w:right w:w="28" w:type="dxa"/>
            </w:tcMar>
            <w:vAlign w:val="center"/>
          </w:tcPr>
          <w:p w14:paraId="7FC7DC4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在建工程</w:t>
            </w:r>
          </w:p>
          <w:p w14:paraId="07E48E6A">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③</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547" w:type="pct"/>
            <w:noWrap w:val="0"/>
            <w:tcMar>
              <w:left w:w="28" w:type="dxa"/>
              <w:right w:w="28" w:type="dxa"/>
            </w:tcMar>
            <w:vAlign w:val="center"/>
          </w:tcPr>
          <w:p w14:paraId="59F52548">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本项目</w:t>
            </w:r>
          </w:p>
          <w:p w14:paraId="0C4A48E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④</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c>
          <w:tcPr>
            <w:tcW w:w="618" w:type="pct"/>
            <w:noWrap w:val="0"/>
            <w:tcMar>
              <w:left w:w="28" w:type="dxa"/>
              <w:right w:w="28" w:type="dxa"/>
            </w:tcMar>
            <w:vAlign w:val="center"/>
          </w:tcPr>
          <w:p w14:paraId="0332E39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以新带老削减量</w:t>
            </w:r>
          </w:p>
          <w:p w14:paraId="7A397752">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⑤</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end"/>
            </w:r>
          </w:p>
        </w:tc>
        <w:tc>
          <w:tcPr>
            <w:tcW w:w="688" w:type="pct"/>
            <w:noWrap w:val="0"/>
            <w:tcMar>
              <w:left w:w="28" w:type="dxa"/>
              <w:right w:w="28" w:type="dxa"/>
            </w:tcMar>
            <w:vAlign w:val="center"/>
          </w:tcPr>
          <w:p w14:paraId="3E4B6D6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本项目建成后</w:t>
            </w:r>
          </w:p>
          <w:p w14:paraId="2455690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⑥</w:t>
            </w:r>
            <w:r>
              <w:rPr>
                <w:rFonts w:hint="default" w:ascii="Times New Roman" w:hAnsi="Times New Roman" w:eastAsia="宋体" w:cs="Times New Roman"/>
                <w:b/>
                <w:bCs/>
                <w:snapToGrid w:val="0"/>
                <w:color w:val="000000" w:themeColor="text1"/>
                <w:spacing w:val="-16"/>
                <w:kern w:val="21"/>
                <w:szCs w:val="21"/>
                <w:highlight w:val="none"/>
                <w14:textFill>
                  <w14:solidFill>
                    <w14:schemeClr w14:val="tx1"/>
                  </w14:solidFill>
                </w14:textFill>
              </w:rPr>
              <w:fldChar w:fldCharType="end"/>
            </w:r>
          </w:p>
        </w:tc>
        <w:tc>
          <w:tcPr>
            <w:tcW w:w="446" w:type="pct"/>
            <w:noWrap w:val="0"/>
            <w:tcMar>
              <w:left w:w="28" w:type="dxa"/>
              <w:right w:w="28" w:type="dxa"/>
            </w:tcMar>
            <w:vAlign w:val="center"/>
          </w:tcPr>
          <w:p w14:paraId="3A6003F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t>变化量</w:t>
            </w:r>
          </w:p>
          <w:p w14:paraId="6C43110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Cs w:val="21"/>
                <w:highlight w:val="none"/>
                <w14:textFill>
                  <w14:solidFill>
                    <w14:schemeClr w14:val="tx1"/>
                  </w14:solidFill>
                </w14:textFill>
              </w:rPr>
              <w:t>⑦</w:t>
            </w:r>
            <w:r>
              <w:rPr>
                <w:rFonts w:hint="default" w:ascii="Times New Roman" w:hAnsi="Times New Roman" w:eastAsia="宋体" w:cs="Times New Roman"/>
                <w:b/>
                <w:bCs/>
                <w:snapToGrid w:val="0"/>
                <w:color w:val="000000" w:themeColor="text1"/>
                <w:spacing w:val="-6"/>
                <w:kern w:val="21"/>
                <w:szCs w:val="21"/>
                <w:highlight w:val="none"/>
                <w14:textFill>
                  <w14:solidFill>
                    <w14:schemeClr w14:val="tx1"/>
                  </w14:solidFill>
                </w14:textFill>
              </w:rPr>
              <w:fldChar w:fldCharType="end"/>
            </w:r>
          </w:p>
        </w:tc>
      </w:tr>
      <w:tr w14:paraId="24CEF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noWrap w:val="0"/>
            <w:vAlign w:val="center"/>
          </w:tcPr>
          <w:p w14:paraId="2B27E2E2">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废气</w:t>
            </w:r>
          </w:p>
        </w:tc>
        <w:tc>
          <w:tcPr>
            <w:tcW w:w="689" w:type="pct"/>
            <w:noWrap w:val="0"/>
            <w:vAlign w:val="center"/>
          </w:tcPr>
          <w:p w14:paraId="3B59A82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颗粒物</w:t>
            </w:r>
          </w:p>
        </w:tc>
        <w:tc>
          <w:tcPr>
            <w:tcW w:w="469" w:type="pct"/>
            <w:noWrap w:val="0"/>
            <w:vAlign w:val="center"/>
          </w:tcPr>
          <w:p w14:paraId="2C0AFA5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t>/</w:t>
            </w:r>
          </w:p>
        </w:tc>
        <w:tc>
          <w:tcPr>
            <w:tcW w:w="384" w:type="pct"/>
            <w:noWrap w:val="0"/>
            <w:vAlign w:val="center"/>
          </w:tcPr>
          <w:p w14:paraId="1B4712A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597" w:type="pct"/>
            <w:noWrap w:val="0"/>
            <w:vAlign w:val="center"/>
          </w:tcPr>
          <w:p w14:paraId="694511EA">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547" w:type="pct"/>
            <w:noWrap w:val="0"/>
            <w:vAlign w:val="center"/>
          </w:tcPr>
          <w:p w14:paraId="78C76BB8">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0.0158</w:t>
            </w:r>
          </w:p>
        </w:tc>
        <w:tc>
          <w:tcPr>
            <w:tcW w:w="618" w:type="pct"/>
            <w:noWrap w:val="0"/>
            <w:vAlign w:val="center"/>
          </w:tcPr>
          <w:p w14:paraId="5EA44CF0">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231F9DA7">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0.0158</w:t>
            </w:r>
          </w:p>
        </w:tc>
        <w:tc>
          <w:tcPr>
            <w:tcW w:w="446" w:type="pct"/>
            <w:noWrap w:val="0"/>
            <w:vAlign w:val="center"/>
          </w:tcPr>
          <w:p w14:paraId="727A61B9">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4C17E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restart"/>
            <w:noWrap w:val="0"/>
            <w:vAlign w:val="center"/>
          </w:tcPr>
          <w:p w14:paraId="0757DAA2">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废水</w:t>
            </w:r>
          </w:p>
        </w:tc>
        <w:tc>
          <w:tcPr>
            <w:tcW w:w="689" w:type="pct"/>
            <w:noWrap w:val="0"/>
            <w:vAlign w:val="center"/>
          </w:tcPr>
          <w:p w14:paraId="6581F59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化学需氧量</w:t>
            </w:r>
          </w:p>
        </w:tc>
        <w:tc>
          <w:tcPr>
            <w:tcW w:w="469" w:type="pct"/>
            <w:noWrap w:val="0"/>
            <w:vAlign w:val="center"/>
          </w:tcPr>
          <w:p w14:paraId="47AAC980">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36638B3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29FEBE7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shd w:val="clear" w:color="auto" w:fill="auto"/>
            <w:noWrap w:val="0"/>
            <w:vAlign w:val="center"/>
          </w:tcPr>
          <w:p w14:paraId="48080B7A">
            <w:pPr>
              <w:widowControl/>
              <w:jc w:val="center"/>
              <w:textAlignment w:val="cente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14.92</w:t>
            </w:r>
          </w:p>
        </w:tc>
        <w:tc>
          <w:tcPr>
            <w:tcW w:w="618" w:type="pct"/>
            <w:noWrap w:val="0"/>
            <w:vAlign w:val="center"/>
          </w:tcPr>
          <w:p w14:paraId="31986FD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shd w:val="clear" w:color="auto" w:fill="auto"/>
            <w:noWrap w:val="0"/>
            <w:vAlign w:val="center"/>
          </w:tcPr>
          <w:p w14:paraId="1295955A">
            <w:pPr>
              <w:widowControl/>
              <w:jc w:val="center"/>
              <w:textAlignment w:val="cente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14.92</w:t>
            </w:r>
          </w:p>
        </w:tc>
        <w:tc>
          <w:tcPr>
            <w:tcW w:w="446" w:type="pct"/>
            <w:noWrap w:val="0"/>
            <w:vAlign w:val="center"/>
          </w:tcPr>
          <w:p w14:paraId="759574B5">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489FD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76F2F89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689" w:type="pct"/>
            <w:noWrap w:val="0"/>
            <w:vAlign w:val="center"/>
          </w:tcPr>
          <w:p w14:paraId="00E69F8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BOD5</w:t>
            </w:r>
          </w:p>
        </w:tc>
        <w:tc>
          <w:tcPr>
            <w:tcW w:w="469" w:type="pct"/>
            <w:noWrap w:val="0"/>
            <w:vAlign w:val="center"/>
          </w:tcPr>
          <w:p w14:paraId="3893005B">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7386802A">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36618D2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shd w:val="clear" w:color="auto" w:fill="auto"/>
            <w:noWrap w:val="0"/>
            <w:vAlign w:val="center"/>
          </w:tcPr>
          <w:p w14:paraId="6B097CED">
            <w:pPr>
              <w:widowControl/>
              <w:jc w:val="center"/>
              <w:textAlignment w:val="cente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8.95</w:t>
            </w:r>
          </w:p>
        </w:tc>
        <w:tc>
          <w:tcPr>
            <w:tcW w:w="618" w:type="pct"/>
            <w:noWrap w:val="0"/>
            <w:vAlign w:val="center"/>
          </w:tcPr>
          <w:p w14:paraId="24E0D02D">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shd w:val="clear" w:color="auto" w:fill="auto"/>
            <w:noWrap w:val="0"/>
            <w:vAlign w:val="center"/>
          </w:tcPr>
          <w:p w14:paraId="35C2F583">
            <w:pPr>
              <w:widowControl/>
              <w:jc w:val="center"/>
              <w:textAlignment w:val="cente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8.95</w:t>
            </w:r>
          </w:p>
        </w:tc>
        <w:tc>
          <w:tcPr>
            <w:tcW w:w="446" w:type="pct"/>
            <w:noWrap w:val="0"/>
            <w:vAlign w:val="center"/>
          </w:tcPr>
          <w:p w14:paraId="51A93218">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03790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37327C1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689" w:type="pct"/>
            <w:noWrap w:val="0"/>
            <w:vAlign w:val="center"/>
          </w:tcPr>
          <w:p w14:paraId="1DBEAE9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氨氮</w:t>
            </w:r>
          </w:p>
        </w:tc>
        <w:tc>
          <w:tcPr>
            <w:tcW w:w="469" w:type="pct"/>
            <w:noWrap w:val="0"/>
            <w:vAlign w:val="center"/>
          </w:tcPr>
          <w:p w14:paraId="18857A5C">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2439A2A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0C020D0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shd w:val="clear" w:color="auto" w:fill="auto"/>
            <w:noWrap w:val="0"/>
            <w:vAlign w:val="center"/>
          </w:tcPr>
          <w:p w14:paraId="74A811A7">
            <w:pPr>
              <w:widowControl/>
              <w:jc w:val="center"/>
              <w:textAlignment w:val="cente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1.34</w:t>
            </w:r>
          </w:p>
        </w:tc>
        <w:tc>
          <w:tcPr>
            <w:tcW w:w="618" w:type="pct"/>
            <w:noWrap w:val="0"/>
            <w:vAlign w:val="center"/>
          </w:tcPr>
          <w:p w14:paraId="351A375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shd w:val="clear" w:color="auto" w:fill="auto"/>
            <w:noWrap w:val="0"/>
            <w:vAlign w:val="center"/>
          </w:tcPr>
          <w:p w14:paraId="25FF4411">
            <w:pPr>
              <w:widowControl/>
              <w:jc w:val="center"/>
              <w:textAlignment w:val="cente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1.34</w:t>
            </w:r>
          </w:p>
        </w:tc>
        <w:tc>
          <w:tcPr>
            <w:tcW w:w="446" w:type="pct"/>
            <w:noWrap w:val="0"/>
            <w:vAlign w:val="center"/>
          </w:tcPr>
          <w:p w14:paraId="061CEB43">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741ED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492687C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689" w:type="pct"/>
            <w:noWrap w:val="0"/>
            <w:vAlign w:val="center"/>
          </w:tcPr>
          <w:p w14:paraId="0F7AFB8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总磷（以P计）</w:t>
            </w:r>
          </w:p>
        </w:tc>
        <w:tc>
          <w:tcPr>
            <w:tcW w:w="469" w:type="pct"/>
            <w:noWrap w:val="0"/>
            <w:vAlign w:val="center"/>
          </w:tcPr>
          <w:p w14:paraId="450FF04C">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7ACD94A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4022F74A">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shd w:val="clear" w:color="auto" w:fill="auto"/>
            <w:noWrap w:val="0"/>
            <w:vAlign w:val="center"/>
          </w:tcPr>
          <w:p w14:paraId="68DA1A63">
            <w:pPr>
              <w:widowControl/>
              <w:jc w:val="center"/>
              <w:textAlignment w:val="cente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0.24</w:t>
            </w:r>
          </w:p>
        </w:tc>
        <w:tc>
          <w:tcPr>
            <w:tcW w:w="618" w:type="pct"/>
            <w:noWrap w:val="0"/>
            <w:vAlign w:val="center"/>
          </w:tcPr>
          <w:p w14:paraId="4C09E3B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shd w:val="clear" w:color="auto" w:fill="auto"/>
            <w:noWrap w:val="0"/>
            <w:vAlign w:val="center"/>
          </w:tcPr>
          <w:p w14:paraId="082E8DEF">
            <w:pPr>
              <w:widowControl/>
              <w:jc w:val="center"/>
              <w:textAlignment w:val="cente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color w:val="000000" w:themeColor="text1"/>
                <w:kern w:val="0"/>
                <w:sz w:val="18"/>
                <w:szCs w:val="18"/>
                <w:highlight w:val="none"/>
                <w:lang w:bidi="ar"/>
                <w14:textFill>
                  <w14:solidFill>
                    <w14:schemeClr w14:val="tx1"/>
                  </w14:solidFill>
                </w14:textFill>
              </w:rPr>
              <w:t>0.24</w:t>
            </w:r>
          </w:p>
        </w:tc>
        <w:tc>
          <w:tcPr>
            <w:tcW w:w="446" w:type="pct"/>
            <w:noWrap w:val="0"/>
            <w:vAlign w:val="center"/>
          </w:tcPr>
          <w:p w14:paraId="11FF142E">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690DB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noWrap w:val="0"/>
            <w:vAlign w:val="center"/>
          </w:tcPr>
          <w:p w14:paraId="49FDD4B3">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生活垃圾</w:t>
            </w:r>
          </w:p>
        </w:tc>
        <w:tc>
          <w:tcPr>
            <w:tcW w:w="689" w:type="pct"/>
            <w:noWrap w:val="0"/>
            <w:vAlign w:val="center"/>
          </w:tcPr>
          <w:p w14:paraId="4299393B">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生活垃圾</w:t>
            </w:r>
          </w:p>
        </w:tc>
        <w:tc>
          <w:tcPr>
            <w:tcW w:w="469" w:type="pct"/>
            <w:noWrap w:val="0"/>
            <w:vAlign w:val="center"/>
          </w:tcPr>
          <w:p w14:paraId="2EABBC93">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4E98493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60E7929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4BE992D3">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1.50</w:t>
            </w:r>
          </w:p>
        </w:tc>
        <w:tc>
          <w:tcPr>
            <w:tcW w:w="618" w:type="pct"/>
            <w:noWrap w:val="0"/>
            <w:vAlign w:val="center"/>
          </w:tcPr>
          <w:p w14:paraId="21602B4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7FCC2F87">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1.5</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446" w:type="pct"/>
            <w:noWrap w:val="0"/>
            <w:vAlign w:val="center"/>
          </w:tcPr>
          <w:p w14:paraId="5D147E64">
            <w:pPr>
              <w:pStyle w:val="64"/>
              <w:keepLines w:val="0"/>
              <w:pageBreakBefore w:val="0"/>
              <w:kinsoku/>
              <w:bidi w:val="0"/>
              <w:adjustRightInd/>
              <w:snapToGrid/>
              <w:spacing w:beforeLines="0" w:afterLines="0" w:line="240" w:lineRule="auto"/>
              <w:ind w:left="0" w:leftChars="0" w:right="0" w:rightChars="0" w:firstLine="0" w:firstLineChars="0"/>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7ED36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restart"/>
            <w:noWrap w:val="0"/>
            <w:vAlign w:val="center"/>
          </w:tcPr>
          <w:p w14:paraId="719CC3A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一般固废</w:t>
            </w:r>
          </w:p>
        </w:tc>
        <w:tc>
          <w:tcPr>
            <w:tcW w:w="689" w:type="pct"/>
            <w:noWrap w:val="0"/>
            <w:vAlign w:val="center"/>
          </w:tcPr>
          <w:p w14:paraId="23D297EC">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沉淀池污泥</w:t>
            </w:r>
          </w:p>
        </w:tc>
        <w:tc>
          <w:tcPr>
            <w:tcW w:w="469" w:type="pct"/>
            <w:noWrap w:val="0"/>
            <w:vAlign w:val="center"/>
          </w:tcPr>
          <w:p w14:paraId="7EF6B33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0E00768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63D8727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2C96F6A2">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b w:val="0"/>
                <w:bCs w:val="0"/>
                <w:snapToGrid w:val="0"/>
                <w:color w:val="000000" w:themeColor="text1"/>
                <w:kern w:val="21"/>
                <w:sz w:val="21"/>
                <w:szCs w:val="21"/>
                <w:highlight w:val="none"/>
                <w:lang w:val="en-US" w:eastAsia="zh-CN"/>
                <w14:textFill>
                  <w14:solidFill>
                    <w14:schemeClr w14:val="tx1"/>
                  </w14:solidFill>
                </w14:textFill>
              </w:rPr>
              <w:t>80</w:t>
            </w:r>
          </w:p>
        </w:tc>
        <w:tc>
          <w:tcPr>
            <w:tcW w:w="618" w:type="pct"/>
            <w:noWrap w:val="0"/>
            <w:vAlign w:val="center"/>
          </w:tcPr>
          <w:p w14:paraId="3902EE4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23FD5DFB">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21"/>
                <w:highlight w:val="none"/>
                <w:lang w:eastAsia="zh-CN"/>
                <w14:textFill>
                  <w14:solidFill>
                    <w14:schemeClr w14:val="tx1"/>
                  </w14:solidFill>
                </w14:textFill>
              </w:rPr>
              <w:t>80</w:t>
            </w:r>
          </w:p>
        </w:tc>
        <w:tc>
          <w:tcPr>
            <w:tcW w:w="446" w:type="pct"/>
            <w:noWrap w:val="0"/>
            <w:vAlign w:val="center"/>
          </w:tcPr>
          <w:p w14:paraId="21EDC2E4">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34156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7FD5C950">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p>
        </w:tc>
        <w:tc>
          <w:tcPr>
            <w:tcW w:w="689" w:type="pct"/>
            <w:noWrap w:val="0"/>
            <w:vAlign w:val="center"/>
          </w:tcPr>
          <w:p w14:paraId="68D4377D">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除尘器除尘灰</w:t>
            </w:r>
          </w:p>
        </w:tc>
        <w:tc>
          <w:tcPr>
            <w:tcW w:w="469" w:type="pct"/>
            <w:noWrap w:val="0"/>
            <w:vAlign w:val="center"/>
          </w:tcPr>
          <w:p w14:paraId="1DFABFA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72C485E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0C50BCB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15D69E93">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b w:val="0"/>
                <w:bCs w:val="0"/>
                <w:snapToGrid w:val="0"/>
                <w:color w:val="000000" w:themeColor="text1"/>
                <w:kern w:val="21"/>
                <w:sz w:val="21"/>
                <w:szCs w:val="21"/>
                <w:highlight w:val="none"/>
                <w:lang w:val="en-US" w:eastAsia="zh-CN"/>
                <w14:textFill>
                  <w14:solidFill>
                    <w14:schemeClr w14:val="tx1"/>
                  </w14:solidFill>
                </w14:textFill>
              </w:rPr>
              <w:t>83.4</w:t>
            </w:r>
          </w:p>
        </w:tc>
        <w:tc>
          <w:tcPr>
            <w:tcW w:w="618" w:type="pct"/>
            <w:noWrap w:val="0"/>
            <w:vAlign w:val="center"/>
          </w:tcPr>
          <w:p w14:paraId="13E3D06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03CE1EC0">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highlight w:val="none"/>
                <w:lang w:eastAsia="zh-CN"/>
                <w14:textFill>
                  <w14:solidFill>
                    <w14:schemeClr w14:val="tx1"/>
                  </w14:solidFill>
                </w14:textFill>
              </w:rPr>
              <w:t>83.4</w:t>
            </w:r>
          </w:p>
        </w:tc>
        <w:tc>
          <w:tcPr>
            <w:tcW w:w="446" w:type="pct"/>
            <w:noWrap w:val="0"/>
            <w:vAlign w:val="center"/>
          </w:tcPr>
          <w:p w14:paraId="6911067B">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5717B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1365BD1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p>
        </w:tc>
        <w:tc>
          <w:tcPr>
            <w:tcW w:w="689" w:type="pct"/>
            <w:noWrap w:val="0"/>
            <w:vAlign w:val="center"/>
          </w:tcPr>
          <w:p w14:paraId="2EAEE0E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t>混凝土废料</w:t>
            </w:r>
          </w:p>
        </w:tc>
        <w:tc>
          <w:tcPr>
            <w:tcW w:w="469" w:type="pct"/>
            <w:noWrap w:val="0"/>
            <w:vAlign w:val="center"/>
          </w:tcPr>
          <w:p w14:paraId="5F427FAD">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3E1EA2EB">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1FDBC38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0BA6CA2E">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b w:val="0"/>
                <w:bCs w:val="0"/>
                <w:snapToGrid w:val="0"/>
                <w:color w:val="000000" w:themeColor="text1"/>
                <w:kern w:val="21"/>
                <w:sz w:val="21"/>
                <w:szCs w:val="21"/>
                <w:highlight w:val="none"/>
                <w:lang w:val="en-US" w:eastAsia="zh-CN"/>
                <w14:textFill>
                  <w14:solidFill>
                    <w14:schemeClr w14:val="tx1"/>
                  </w14:solidFill>
                </w14:textFill>
              </w:rPr>
              <w:t>150</w:t>
            </w:r>
          </w:p>
        </w:tc>
        <w:tc>
          <w:tcPr>
            <w:tcW w:w="618" w:type="pct"/>
            <w:noWrap w:val="0"/>
            <w:vAlign w:val="center"/>
          </w:tcPr>
          <w:p w14:paraId="1229E2A9">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454CBE93">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highlight w:val="none"/>
                <w:lang w:eastAsia="zh-CN"/>
                <w14:textFill>
                  <w14:solidFill>
                    <w14:schemeClr w14:val="tx1"/>
                  </w14:solidFill>
                </w14:textFill>
              </w:rPr>
              <w:t>150</w:t>
            </w:r>
          </w:p>
        </w:tc>
        <w:tc>
          <w:tcPr>
            <w:tcW w:w="446" w:type="pct"/>
            <w:noWrap w:val="0"/>
            <w:vAlign w:val="center"/>
          </w:tcPr>
          <w:p w14:paraId="75ED10FB">
            <w:pPr>
              <w:pStyle w:val="64"/>
              <w:adjustRightInd/>
              <w:snapToGrid/>
              <w:spacing w:beforeLines="0" w:afterLines="0" w:line="240" w:lineRule="auto"/>
              <w:ind w:left="0" w:leftChars="0" w:right="0" w:rightChars="0" w:firstLine="0" w:firstLine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16CEB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restart"/>
            <w:noWrap w:val="0"/>
            <w:vAlign w:val="center"/>
          </w:tcPr>
          <w:p w14:paraId="3C45EF0D">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t>危险废物</w:t>
            </w:r>
          </w:p>
        </w:tc>
        <w:tc>
          <w:tcPr>
            <w:tcW w:w="689" w:type="pct"/>
            <w:noWrap w:val="0"/>
            <w:vAlign w:val="center"/>
          </w:tcPr>
          <w:p w14:paraId="2380E803">
            <w:pPr>
              <w:autoSpaceDE w:val="0"/>
              <w:autoSpaceDN w:val="0"/>
              <w:spacing w:beforeLines="0" w:afterLines="0"/>
              <w:ind w:left="0" w:leftChars="0" w:right="0" w:rightChars="0" w:firstLine="0" w:firstLineChars="0"/>
              <w:jc w:val="center"/>
              <w:rPr>
                <w:rFonts w:hint="default" w:ascii="Times New Roman" w:hAnsi="Times New Roman" w:eastAsia="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废机油、废机油桶</w:t>
            </w:r>
          </w:p>
        </w:tc>
        <w:tc>
          <w:tcPr>
            <w:tcW w:w="469" w:type="pct"/>
            <w:noWrap w:val="0"/>
            <w:vAlign w:val="center"/>
          </w:tcPr>
          <w:p w14:paraId="7BBAF9D7">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0F5A4EC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584E5586">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58020B19">
            <w:pPr>
              <w:keepLines w:val="0"/>
              <w:pageBreakBefore w:val="0"/>
              <w:kinsoku/>
              <w:autoSpaceDE w:val="0"/>
              <w:autoSpaceDN w:val="0"/>
              <w:bidi w:val="0"/>
              <w:snapToGrid/>
              <w:spacing w:beforeLines="0" w:afterLines="0"/>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0.1</w:t>
            </w:r>
          </w:p>
        </w:tc>
        <w:tc>
          <w:tcPr>
            <w:tcW w:w="618" w:type="pct"/>
            <w:noWrap w:val="0"/>
            <w:vAlign w:val="center"/>
          </w:tcPr>
          <w:p w14:paraId="6ADA73B8">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0E0E4335">
            <w:pPr>
              <w:autoSpaceDE w:val="0"/>
              <w:autoSpaceDN w:val="0"/>
              <w:spacing w:beforeLines="0" w:afterLines="0"/>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0.1</w:t>
            </w:r>
          </w:p>
        </w:tc>
        <w:tc>
          <w:tcPr>
            <w:tcW w:w="446" w:type="pct"/>
            <w:noWrap w:val="0"/>
            <w:vAlign w:val="center"/>
          </w:tcPr>
          <w:p w14:paraId="7A06CA6F">
            <w:pPr>
              <w:autoSpaceDE w:val="0"/>
              <w:autoSpaceDN w:val="0"/>
              <w:spacing w:beforeLines="0" w:afterLines="0"/>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r w14:paraId="6C875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noWrap w:val="0"/>
            <w:vAlign w:val="center"/>
          </w:tcPr>
          <w:p w14:paraId="5741828D">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Cs w:val="21"/>
                <w:highlight w:val="none"/>
                <w14:textFill>
                  <w14:solidFill>
                    <w14:schemeClr w14:val="tx1"/>
                  </w14:solidFill>
                </w14:textFill>
              </w:rPr>
            </w:pPr>
          </w:p>
        </w:tc>
        <w:tc>
          <w:tcPr>
            <w:tcW w:w="689" w:type="pct"/>
            <w:noWrap w:val="0"/>
            <w:vAlign w:val="center"/>
          </w:tcPr>
          <w:p w14:paraId="42E57830">
            <w:pPr>
              <w:autoSpaceDE w:val="0"/>
              <w:autoSpaceDN w:val="0"/>
              <w:spacing w:beforeLines="0" w:afterLines="0"/>
              <w:ind w:left="0" w:leftChars="0" w:right="0" w:rightChars="0" w:firstLine="0" w:firstLineChars="0"/>
              <w:jc w:val="center"/>
              <w:rPr>
                <w:rFonts w:hint="default" w:ascii="Times New Roman" w:hAnsi="Times New Roman" w:eastAsia="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废含油棉纱及手套</w:t>
            </w:r>
          </w:p>
        </w:tc>
        <w:tc>
          <w:tcPr>
            <w:tcW w:w="469" w:type="pct"/>
            <w:noWrap w:val="0"/>
            <w:vAlign w:val="center"/>
          </w:tcPr>
          <w:p w14:paraId="27F213A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84" w:type="pct"/>
            <w:noWrap w:val="0"/>
            <w:vAlign w:val="center"/>
          </w:tcPr>
          <w:p w14:paraId="1DCE94D4">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97" w:type="pct"/>
            <w:noWrap w:val="0"/>
            <w:vAlign w:val="center"/>
          </w:tcPr>
          <w:p w14:paraId="14E10BD5">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47" w:type="pct"/>
            <w:noWrap w:val="0"/>
            <w:vAlign w:val="center"/>
          </w:tcPr>
          <w:p w14:paraId="1CEA050C">
            <w:pPr>
              <w:keepLines w:val="0"/>
              <w:pageBreakBefore w:val="0"/>
              <w:kinsoku/>
              <w:autoSpaceDE w:val="0"/>
              <w:autoSpaceDN w:val="0"/>
              <w:bidi w:val="0"/>
              <w:snapToGrid/>
              <w:spacing w:beforeLines="0" w:afterLines="0"/>
              <w:ind w:left="0" w:leftChars="0" w:right="0" w:rightChars="0" w:firstLine="0" w:firstLineChars="0"/>
              <w:jc w:val="cente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0.01</w:t>
            </w:r>
          </w:p>
        </w:tc>
        <w:tc>
          <w:tcPr>
            <w:tcW w:w="618" w:type="pct"/>
            <w:noWrap w:val="0"/>
            <w:vAlign w:val="center"/>
          </w:tcPr>
          <w:p w14:paraId="20B2F75F">
            <w:pPr>
              <w:pStyle w:val="64"/>
              <w:keepNext w:val="0"/>
              <w:keepLines w:val="0"/>
              <w:pageBreakBefore w:val="0"/>
              <w:kinsoku/>
              <w:wordWrap/>
              <w:overflowPunct/>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b w:val="0"/>
                <w:bCs w:val="0"/>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88" w:type="pct"/>
            <w:noWrap w:val="0"/>
            <w:vAlign w:val="center"/>
          </w:tcPr>
          <w:p w14:paraId="6193C704">
            <w:pPr>
              <w:autoSpaceDE w:val="0"/>
              <w:autoSpaceDN w:val="0"/>
              <w:spacing w:beforeLines="0" w:afterLines="0"/>
              <w:ind w:left="0" w:leftChars="0" w:right="0" w:rightChars="0" w:firstLine="0" w:firstLineChars="0"/>
              <w:jc w:val="cente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0.01</w:t>
            </w:r>
          </w:p>
        </w:tc>
        <w:tc>
          <w:tcPr>
            <w:tcW w:w="446" w:type="pct"/>
            <w:noWrap w:val="0"/>
            <w:vAlign w:val="center"/>
          </w:tcPr>
          <w:p w14:paraId="78DCA730">
            <w:pPr>
              <w:autoSpaceDE w:val="0"/>
              <w:autoSpaceDN w:val="0"/>
              <w:spacing w:beforeLines="0" w:afterLines="0"/>
              <w:ind w:left="0" w:leftChars="0" w:right="0" w:rightChars="0" w:firstLine="0" w:firstLineChars="0"/>
              <w:jc w:val="center"/>
              <w:rPr>
                <w:rFonts w:hint="default" w:ascii="Times New Roman" w:hAnsi="Times New Roman" w:cs="Times New Roman"/>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r>
    </w:tbl>
    <w:p w14:paraId="77005B45">
      <w:pPr>
        <w:pStyle w:val="64"/>
        <w:keepNext w:val="0"/>
        <w:keepLines w:val="0"/>
        <w:pageBreakBefore w:val="0"/>
        <w:kinsoku/>
        <w:wordWrap/>
        <w:overflowPunct/>
        <w:bidi w:val="0"/>
        <w:adjustRightInd/>
        <w:snapToGrid/>
        <w:spacing w:beforeLines="0" w:beforeAutospacing="0" w:afterLines="0" w:afterAutospacing="0"/>
        <w:jc w:val="left"/>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p w14:paraId="13153426">
      <w:pPr>
        <w:pStyle w:val="9"/>
        <w:keepLines w:val="0"/>
        <w:pageBreakBefore w:val="0"/>
        <w:kinsoku/>
        <w:bidi w:val="0"/>
        <w:snapToGrid/>
        <w:spacing w:beforeLines="0" w:afterLines="0"/>
        <w:rPr>
          <w:rFonts w:hint="default" w:ascii="Times New Roman" w:hAnsi="Times New Roman" w:eastAsia="宋体" w:cs="Times New Roman"/>
          <w:color w:val="000000" w:themeColor="text1"/>
          <w:highlight w:val="none"/>
          <w14:textFill>
            <w14:solidFill>
              <w14:schemeClr w14:val="tx1"/>
            </w14:solidFill>
          </w14:textFill>
        </w:rPr>
      </w:pPr>
    </w:p>
    <w:p w14:paraId="2C46822C">
      <w:pPr>
        <w:pStyle w:val="6"/>
        <w:keepLines w:val="0"/>
        <w:pageBreakBefore w:val="0"/>
        <w:kinsoku/>
        <w:bidi w:val="0"/>
        <w:snapToGrid/>
        <w:spacing w:before="0" w:beforeLines="0" w:after="0" w:afterLines="0"/>
        <w:rPr>
          <w:rFonts w:hint="default" w:ascii="Times New Roman" w:hAnsi="Times New Roman" w:eastAsia="宋体" w:cs="Times New Roman"/>
          <w:color w:val="000000" w:themeColor="text1"/>
          <w:highlight w:val="none"/>
          <w14:textFill>
            <w14:solidFill>
              <w14:schemeClr w14:val="tx1"/>
            </w14:solidFill>
          </w14:textFill>
        </w:rPr>
        <w:sectPr>
          <w:footerReference r:id="rId5" w:type="default"/>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14:paraId="20BC36A5">
      <w:pPr>
        <w:keepNext w:val="0"/>
        <w:keepLines w:val="0"/>
        <w:pageBreakBefore w:val="0"/>
        <w:kinsoku/>
        <w:wordWrap/>
        <w:overflowPunct/>
        <w:bidi w:val="0"/>
        <w:adjustRightInd/>
        <w:snapToGrid/>
        <w:spacing w:beforeLines="0" w:beforeAutospacing="0" w:afterLines="0" w:afterAutospacing="0"/>
        <w:rPr>
          <w:rFonts w:hint="default" w:ascii="Times New Roman" w:hAnsi="Times New Roman" w:eastAsia="宋体" w:cs="Times New Roman"/>
          <w:color w:val="000000" w:themeColor="text1"/>
          <w:highlight w:val="none"/>
          <w14:textFill>
            <w14:solidFill>
              <w14:schemeClr w14:val="tx1"/>
            </w14:solidFill>
          </w14:textFill>
        </w:rPr>
      </w:pPr>
    </w:p>
    <w:sectPr>
      <w:footerReference r:id="rId6" w:type="default"/>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AAAF2">
    <w:pPr>
      <w:pStyle w:val="21"/>
      <w:ind w:right="360" w:firstLine="3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264D">
    <w:pPr>
      <w:pStyle w:val="21"/>
      <w:ind w:left="0" w:leftChars="0" w:right="0" w:rightChars="0" w:firstLine="0" w:firstLineChars="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FB60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4FB60D">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D331">
    <w:pPr>
      <w:pStyle w:val="21"/>
      <w:ind w:right="360" w:firstLine="360"/>
      <w:jc w:val="left"/>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5F7388">
                          <w:pPr>
                            <w:pStyle w:val="21"/>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1yM2L4QEAAMIDAAAOAAAA&#10;AAAAAAEAIAAAAB4BAABkcnMvZTJvRG9jLnhtbFBLBQYAAAAABgAGAFkBAABxBQAAAAA=&#10;">
              <v:fill on="f" focussize="0,0"/>
              <v:stroke on="f"/>
              <v:imagedata o:title=""/>
              <o:lock v:ext="edit" aspectratio="f"/>
              <v:textbox inset="0mm,0mm,0mm,0mm" style="mso-fit-shape-to-text:t;">
                <w:txbxContent>
                  <w:p w14:paraId="225F7388">
                    <w:pPr>
                      <w:pStyle w:val="21"/>
                    </w:pPr>
                    <w:r>
                      <w:fldChar w:fldCharType="begin"/>
                    </w:r>
                    <w:r>
                      <w:instrText xml:space="preserve"> PAGE  \* MERGEFORMAT </w:instrText>
                    </w:r>
                    <w:r>
                      <w:fldChar w:fldCharType="separate"/>
                    </w:r>
                    <w:r>
                      <w:t>51</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2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D24E9">
                          <w:pPr>
                            <w:pStyle w:val="21"/>
                          </w:pPr>
                        </w:p>
                        <w:p w14:paraId="0390B43F"/>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lARK+IBAADCAwAADgAAAGRycy9lMm9Eb2MueG1srVPBjtMwEL0j8Q+W&#10;7zRpJ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xWV5RYbnDi5x/fzz9/n399&#10;I8uyep0k6l2oMfPOYW4c3sCAizP7AzoT86H1Jv2RE8E4Cny6CCyHSES6tKpWqxJDAmPzAfGLh+vO&#10;h/hOgiHJYNTjBLOw/PghxDF1TknVLNwqrfMUtf3HgZjJU6Texx6TFYfdMBHaQXNCPvgUsE4H/isl&#10;PS4Coxb3nhL93qLOaWdmw8/Gbja4FXiR0UjJaL6N424dnFf7Lm9baiq4m0PETjOB1MZYe+oOR5sl&#10;mNYw7c7f55z18PQ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slARK+IBAADCAwAADgAA&#10;AAAAAAABACAAAAAeAQAAZHJzL2Uyb0RvYy54bWxQSwUGAAAAAAYABgBZAQAAcgUAAAAA&#10;">
              <v:fill on="f" focussize="0,0"/>
              <v:stroke on="f"/>
              <v:imagedata o:title=""/>
              <o:lock v:ext="edit" aspectratio="f"/>
              <v:textbox inset="0mm,0mm,0mm,0mm" style="mso-fit-shape-to-text:t;">
                <w:txbxContent>
                  <w:p w14:paraId="2C3D24E9">
                    <w:pPr>
                      <w:pStyle w:val="21"/>
                    </w:pPr>
                  </w:p>
                  <w:p w14:paraId="0390B43F"/>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C578">
    <w:pPr>
      <w:pStyle w:val="21"/>
      <w:ind w:right="360" w:firstLine="360"/>
      <w:jc w:val="left"/>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E076A4">
                          <w:pPr>
                            <w:pStyle w:val="21"/>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8pgB/gAQAAwgMAAA4AAAAA&#10;AAAAAQAgAAAAHgEAAGRycy9lMm9Eb2MueG1sUEsFBgAAAAAGAAYAWQEAAHAFAAAAAA==&#10;">
              <v:fill on="f" focussize="0,0"/>
              <v:stroke on="f"/>
              <v:imagedata o:title=""/>
              <o:lock v:ext="edit" aspectratio="f"/>
              <v:textbox inset="0mm,0mm,0mm,0mm" style="mso-fit-shape-to-text:t;">
                <w:txbxContent>
                  <w:p w14:paraId="02E076A4">
                    <w:pPr>
                      <w:pStyle w:val="21"/>
                    </w:pPr>
                    <w:r>
                      <w:fldChar w:fldCharType="begin"/>
                    </w:r>
                    <w:r>
                      <w:instrText xml:space="preserve"> PAGE  \* MERGEFORMAT </w:instrText>
                    </w:r>
                    <w:r>
                      <w:fldChar w:fldCharType="separate"/>
                    </w:r>
                    <w:r>
                      <w:t>52</w:t>
                    </w:r>
                    <w: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2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DB9697">
                          <w:pPr>
                            <w:pStyle w:val="21"/>
                          </w:pPr>
                        </w:p>
                        <w:p w14:paraId="308FF584"/>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1qsaT4QEAAMIDAAAOAAAA&#10;AAAAAAEAIAAAAB4BAABkcnMvZTJvRG9jLnhtbFBLBQYAAAAABgAGAFkBAABxBQAAAAA=&#10;">
              <v:fill on="f" focussize="0,0"/>
              <v:stroke on="f"/>
              <v:imagedata o:title=""/>
              <o:lock v:ext="edit" aspectratio="f"/>
              <v:textbox inset="0mm,0mm,0mm,0mm" style="mso-fit-shape-to-text:t;">
                <w:txbxContent>
                  <w:p w14:paraId="6DDB9697">
                    <w:pPr>
                      <w:pStyle w:val="21"/>
                    </w:pPr>
                  </w:p>
                  <w:p w14:paraId="308FF584"/>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EADE57"/>
    <w:multiLevelType w:val="singleLevel"/>
    <w:tmpl w:val="DCEADE57"/>
    <w:lvl w:ilvl="0" w:tentative="0">
      <w:start w:val="1"/>
      <w:numFmt w:val="decimal"/>
      <w:suff w:val="nothing"/>
      <w:lvlText w:val="%1、"/>
      <w:lvlJc w:val="left"/>
    </w:lvl>
  </w:abstractNum>
  <w:abstractNum w:abstractNumId="1">
    <w:nsid w:val="13B784CB"/>
    <w:multiLevelType w:val="singleLevel"/>
    <w:tmpl w:val="13B784CB"/>
    <w:lvl w:ilvl="0" w:tentative="0">
      <w:start w:val="1"/>
      <w:numFmt w:val="decimal"/>
      <w:suff w:val="nothing"/>
      <w:lvlText w:val="%1、"/>
      <w:lvlJc w:val="left"/>
    </w:lvl>
  </w:abstractNum>
  <w:abstractNum w:abstractNumId="2">
    <w:nsid w:val="3EB18BE0"/>
    <w:multiLevelType w:val="multilevel"/>
    <w:tmpl w:val="3EB18BE0"/>
    <w:lvl w:ilvl="0" w:tentative="0">
      <w:start w:val="1"/>
      <w:numFmt w:val="bullet"/>
      <w:pStyle w:val="12"/>
      <w:lvlText w:val=""/>
      <w:lvlJc w:val="left"/>
      <w:pPr>
        <w:tabs>
          <w:tab w:val="left" w:pos="2040"/>
        </w:tabs>
        <w:ind w:left="204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5FD43480"/>
    <w:multiLevelType w:val="singleLevel"/>
    <w:tmpl w:val="5FD43480"/>
    <w:lvl w:ilvl="0" w:tentative="0">
      <w:start w:val="1"/>
      <w:numFmt w:val="decimal"/>
      <w:suff w:val="nothing"/>
      <w:lvlText w:val="%1、"/>
      <w:lvlJc w:val="left"/>
    </w:lvl>
  </w:abstractNum>
  <w:abstractNum w:abstractNumId="4">
    <w:nsid w:val="6AB7336B"/>
    <w:multiLevelType w:val="multilevel"/>
    <w:tmpl w:val="6AB7336B"/>
    <w:lvl w:ilvl="0" w:tentative="0">
      <w:start w:val="1"/>
      <w:numFmt w:val="decimal"/>
      <w:suff w:val="nothing"/>
      <w:lvlText w:val="%1"/>
      <w:lvlJc w:val="center"/>
      <w:pPr>
        <w:ind w:left="600" w:hanging="42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7A235D1A"/>
    <w:multiLevelType w:val="multilevel"/>
    <w:tmpl w:val="7A235D1A"/>
    <w:lvl w:ilvl="0" w:tentative="0">
      <w:start w:val="1"/>
      <w:numFmt w:val="decimal"/>
      <w:pStyle w:val="67"/>
      <w:lvlText w:val="表%1"/>
      <w:lvlJc w:val="left"/>
      <w:pPr>
        <w:ind w:left="902" w:hanging="420"/>
      </w:pPr>
      <w:rPr>
        <w:rFonts w:hint="default" w:ascii="Times New Roman" w:hAnsi="Times New Roman" w:eastAsia="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iMjQwNTkwNjYwMjE1ZTIxZDk3MGI3YWJhNDc2MmMifQ=="/>
  </w:docVars>
  <w:rsids>
    <w:rsidRoot w:val="00172A27"/>
    <w:rsid w:val="00000B5F"/>
    <w:rsid w:val="000060B3"/>
    <w:rsid w:val="0002480E"/>
    <w:rsid w:val="000414F7"/>
    <w:rsid w:val="0004364B"/>
    <w:rsid w:val="00055377"/>
    <w:rsid w:val="000565D9"/>
    <w:rsid w:val="00061B1F"/>
    <w:rsid w:val="00072CB1"/>
    <w:rsid w:val="000733C4"/>
    <w:rsid w:val="00074783"/>
    <w:rsid w:val="0008070B"/>
    <w:rsid w:val="000810AC"/>
    <w:rsid w:val="00081A02"/>
    <w:rsid w:val="00082231"/>
    <w:rsid w:val="0009075B"/>
    <w:rsid w:val="00092D38"/>
    <w:rsid w:val="0009377B"/>
    <w:rsid w:val="00094D33"/>
    <w:rsid w:val="000A20C9"/>
    <w:rsid w:val="000B058F"/>
    <w:rsid w:val="000B4467"/>
    <w:rsid w:val="000B4DB9"/>
    <w:rsid w:val="000C09AC"/>
    <w:rsid w:val="000C767F"/>
    <w:rsid w:val="000D5A44"/>
    <w:rsid w:val="000E3ED2"/>
    <w:rsid w:val="000E7DDF"/>
    <w:rsid w:val="00131F42"/>
    <w:rsid w:val="001357F1"/>
    <w:rsid w:val="00140FA8"/>
    <w:rsid w:val="00142FEB"/>
    <w:rsid w:val="0014392F"/>
    <w:rsid w:val="00143A2D"/>
    <w:rsid w:val="00145A41"/>
    <w:rsid w:val="00151675"/>
    <w:rsid w:val="00154C0B"/>
    <w:rsid w:val="00155351"/>
    <w:rsid w:val="00157435"/>
    <w:rsid w:val="001604F7"/>
    <w:rsid w:val="001669D4"/>
    <w:rsid w:val="0017504D"/>
    <w:rsid w:val="0017671A"/>
    <w:rsid w:val="00177422"/>
    <w:rsid w:val="00184590"/>
    <w:rsid w:val="001870D1"/>
    <w:rsid w:val="0018781E"/>
    <w:rsid w:val="0019262D"/>
    <w:rsid w:val="001A1B35"/>
    <w:rsid w:val="001A48A2"/>
    <w:rsid w:val="001A6F61"/>
    <w:rsid w:val="001B223C"/>
    <w:rsid w:val="001B72B8"/>
    <w:rsid w:val="001C69B3"/>
    <w:rsid w:val="001D4206"/>
    <w:rsid w:val="001D5595"/>
    <w:rsid w:val="001D7874"/>
    <w:rsid w:val="001D7F22"/>
    <w:rsid w:val="001F0F17"/>
    <w:rsid w:val="001F28B4"/>
    <w:rsid w:val="001F3347"/>
    <w:rsid w:val="001F69E4"/>
    <w:rsid w:val="002125B4"/>
    <w:rsid w:val="002155B8"/>
    <w:rsid w:val="00215AA4"/>
    <w:rsid w:val="00224839"/>
    <w:rsid w:val="002249B2"/>
    <w:rsid w:val="00226574"/>
    <w:rsid w:val="002278EC"/>
    <w:rsid w:val="0023280E"/>
    <w:rsid w:val="002377D1"/>
    <w:rsid w:val="00237FA9"/>
    <w:rsid w:val="002506BC"/>
    <w:rsid w:val="002506FA"/>
    <w:rsid w:val="0025365C"/>
    <w:rsid w:val="00254345"/>
    <w:rsid w:val="00264557"/>
    <w:rsid w:val="00272950"/>
    <w:rsid w:val="002805AB"/>
    <w:rsid w:val="00284204"/>
    <w:rsid w:val="00291773"/>
    <w:rsid w:val="002A168C"/>
    <w:rsid w:val="002A3DC7"/>
    <w:rsid w:val="002B247F"/>
    <w:rsid w:val="002B49E2"/>
    <w:rsid w:val="002B7B00"/>
    <w:rsid w:val="002B7C44"/>
    <w:rsid w:val="002C158D"/>
    <w:rsid w:val="002C2B17"/>
    <w:rsid w:val="002C61F7"/>
    <w:rsid w:val="002D3DD0"/>
    <w:rsid w:val="002E1F3A"/>
    <w:rsid w:val="002E298A"/>
    <w:rsid w:val="002F3FE8"/>
    <w:rsid w:val="00301978"/>
    <w:rsid w:val="003022F7"/>
    <w:rsid w:val="0030332C"/>
    <w:rsid w:val="003051C2"/>
    <w:rsid w:val="00312296"/>
    <w:rsid w:val="00313701"/>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4B9C"/>
    <w:rsid w:val="00390857"/>
    <w:rsid w:val="003A4BF3"/>
    <w:rsid w:val="003B1562"/>
    <w:rsid w:val="003B420D"/>
    <w:rsid w:val="003C0FD1"/>
    <w:rsid w:val="003C6C16"/>
    <w:rsid w:val="003D5530"/>
    <w:rsid w:val="003D5F34"/>
    <w:rsid w:val="003D794D"/>
    <w:rsid w:val="003E1C2E"/>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36B7D"/>
    <w:rsid w:val="00452738"/>
    <w:rsid w:val="00456091"/>
    <w:rsid w:val="00466321"/>
    <w:rsid w:val="00473031"/>
    <w:rsid w:val="00482AC1"/>
    <w:rsid w:val="0048481A"/>
    <w:rsid w:val="00484B9B"/>
    <w:rsid w:val="004855F6"/>
    <w:rsid w:val="0048661E"/>
    <w:rsid w:val="00492FB1"/>
    <w:rsid w:val="00494670"/>
    <w:rsid w:val="004A3823"/>
    <w:rsid w:val="004C65B4"/>
    <w:rsid w:val="004D4AEB"/>
    <w:rsid w:val="004E616D"/>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3876"/>
    <w:rsid w:val="00545424"/>
    <w:rsid w:val="00554A7B"/>
    <w:rsid w:val="0055518A"/>
    <w:rsid w:val="0055572C"/>
    <w:rsid w:val="005565D9"/>
    <w:rsid w:val="0056106A"/>
    <w:rsid w:val="005720AE"/>
    <w:rsid w:val="00583B07"/>
    <w:rsid w:val="005923F4"/>
    <w:rsid w:val="00593490"/>
    <w:rsid w:val="00594D77"/>
    <w:rsid w:val="005969E4"/>
    <w:rsid w:val="00597BC1"/>
    <w:rsid w:val="005A06B7"/>
    <w:rsid w:val="005A1759"/>
    <w:rsid w:val="005A68A7"/>
    <w:rsid w:val="005A7208"/>
    <w:rsid w:val="005B4091"/>
    <w:rsid w:val="005C3366"/>
    <w:rsid w:val="005C5A65"/>
    <w:rsid w:val="005C6ECC"/>
    <w:rsid w:val="005D2854"/>
    <w:rsid w:val="005D36AB"/>
    <w:rsid w:val="005F1D12"/>
    <w:rsid w:val="00610597"/>
    <w:rsid w:val="00612345"/>
    <w:rsid w:val="00617CC3"/>
    <w:rsid w:val="00627BA9"/>
    <w:rsid w:val="006377A6"/>
    <w:rsid w:val="00637A3D"/>
    <w:rsid w:val="006411EF"/>
    <w:rsid w:val="00643BE3"/>
    <w:rsid w:val="00663607"/>
    <w:rsid w:val="006748B8"/>
    <w:rsid w:val="0067722F"/>
    <w:rsid w:val="006775C3"/>
    <w:rsid w:val="0069290A"/>
    <w:rsid w:val="00693D57"/>
    <w:rsid w:val="00694E5F"/>
    <w:rsid w:val="00696FD1"/>
    <w:rsid w:val="0069775A"/>
    <w:rsid w:val="00697813"/>
    <w:rsid w:val="006A1CEF"/>
    <w:rsid w:val="006A3EE8"/>
    <w:rsid w:val="006A6746"/>
    <w:rsid w:val="006A72BF"/>
    <w:rsid w:val="006B03F2"/>
    <w:rsid w:val="006B37DC"/>
    <w:rsid w:val="006B4F68"/>
    <w:rsid w:val="006C0592"/>
    <w:rsid w:val="006C272E"/>
    <w:rsid w:val="006C5479"/>
    <w:rsid w:val="006D13B5"/>
    <w:rsid w:val="006E12FF"/>
    <w:rsid w:val="006E562F"/>
    <w:rsid w:val="006E607E"/>
    <w:rsid w:val="00704336"/>
    <w:rsid w:val="00706C5D"/>
    <w:rsid w:val="00706C6B"/>
    <w:rsid w:val="00710D2F"/>
    <w:rsid w:val="00711C91"/>
    <w:rsid w:val="0071211D"/>
    <w:rsid w:val="00732922"/>
    <w:rsid w:val="0075162E"/>
    <w:rsid w:val="00754034"/>
    <w:rsid w:val="00756556"/>
    <w:rsid w:val="007618C4"/>
    <w:rsid w:val="007646F5"/>
    <w:rsid w:val="00767980"/>
    <w:rsid w:val="00770B19"/>
    <w:rsid w:val="0077463F"/>
    <w:rsid w:val="007836EA"/>
    <w:rsid w:val="00784CDA"/>
    <w:rsid w:val="00786F77"/>
    <w:rsid w:val="007906C4"/>
    <w:rsid w:val="00791A35"/>
    <w:rsid w:val="007940EA"/>
    <w:rsid w:val="007967E8"/>
    <w:rsid w:val="007A2170"/>
    <w:rsid w:val="007A22BF"/>
    <w:rsid w:val="007A3323"/>
    <w:rsid w:val="007A461A"/>
    <w:rsid w:val="007A6C49"/>
    <w:rsid w:val="007A7427"/>
    <w:rsid w:val="007B72B8"/>
    <w:rsid w:val="007B7A58"/>
    <w:rsid w:val="007C21B5"/>
    <w:rsid w:val="007C3BEA"/>
    <w:rsid w:val="007E34B1"/>
    <w:rsid w:val="007E4BD2"/>
    <w:rsid w:val="007F6C6F"/>
    <w:rsid w:val="00801393"/>
    <w:rsid w:val="00802F88"/>
    <w:rsid w:val="00807698"/>
    <w:rsid w:val="0081293E"/>
    <w:rsid w:val="0081535B"/>
    <w:rsid w:val="00815465"/>
    <w:rsid w:val="00817E9A"/>
    <w:rsid w:val="00827390"/>
    <w:rsid w:val="008306BD"/>
    <w:rsid w:val="00831A80"/>
    <w:rsid w:val="008322BB"/>
    <w:rsid w:val="00833743"/>
    <w:rsid w:val="008340A4"/>
    <w:rsid w:val="00865C0B"/>
    <w:rsid w:val="00865F65"/>
    <w:rsid w:val="0087135F"/>
    <w:rsid w:val="00872D94"/>
    <w:rsid w:val="00880364"/>
    <w:rsid w:val="008811BF"/>
    <w:rsid w:val="00891592"/>
    <w:rsid w:val="00891E9E"/>
    <w:rsid w:val="008A2F68"/>
    <w:rsid w:val="008B4FA6"/>
    <w:rsid w:val="008B5282"/>
    <w:rsid w:val="008B7C17"/>
    <w:rsid w:val="008C2D01"/>
    <w:rsid w:val="008C40E6"/>
    <w:rsid w:val="008D0F7A"/>
    <w:rsid w:val="008D138C"/>
    <w:rsid w:val="008D2335"/>
    <w:rsid w:val="008D313A"/>
    <w:rsid w:val="008D4EE8"/>
    <w:rsid w:val="008D68E4"/>
    <w:rsid w:val="008E0506"/>
    <w:rsid w:val="008E0CFF"/>
    <w:rsid w:val="008E5D6B"/>
    <w:rsid w:val="008E76F0"/>
    <w:rsid w:val="008F0323"/>
    <w:rsid w:val="008F15FE"/>
    <w:rsid w:val="008F2D29"/>
    <w:rsid w:val="008F5187"/>
    <w:rsid w:val="008F60D8"/>
    <w:rsid w:val="00902727"/>
    <w:rsid w:val="0090312B"/>
    <w:rsid w:val="009049D8"/>
    <w:rsid w:val="0091736D"/>
    <w:rsid w:val="009224FE"/>
    <w:rsid w:val="0093037A"/>
    <w:rsid w:val="0094154D"/>
    <w:rsid w:val="0095155F"/>
    <w:rsid w:val="00954429"/>
    <w:rsid w:val="009563CE"/>
    <w:rsid w:val="00976328"/>
    <w:rsid w:val="0097680D"/>
    <w:rsid w:val="00977A0E"/>
    <w:rsid w:val="00982438"/>
    <w:rsid w:val="0098404C"/>
    <w:rsid w:val="00985283"/>
    <w:rsid w:val="00995992"/>
    <w:rsid w:val="009A03E5"/>
    <w:rsid w:val="009A0F3B"/>
    <w:rsid w:val="009A1BB4"/>
    <w:rsid w:val="009A2628"/>
    <w:rsid w:val="009A3200"/>
    <w:rsid w:val="009A6BD5"/>
    <w:rsid w:val="009B0897"/>
    <w:rsid w:val="009B7BD9"/>
    <w:rsid w:val="009C32DA"/>
    <w:rsid w:val="009C7DD5"/>
    <w:rsid w:val="009D314D"/>
    <w:rsid w:val="009E227D"/>
    <w:rsid w:val="009E5019"/>
    <w:rsid w:val="009F2E6D"/>
    <w:rsid w:val="009F7794"/>
    <w:rsid w:val="00A04F1B"/>
    <w:rsid w:val="00A0501B"/>
    <w:rsid w:val="00A14947"/>
    <w:rsid w:val="00A3197B"/>
    <w:rsid w:val="00A32A83"/>
    <w:rsid w:val="00A368DB"/>
    <w:rsid w:val="00A42231"/>
    <w:rsid w:val="00A423AA"/>
    <w:rsid w:val="00A5025C"/>
    <w:rsid w:val="00A53EC6"/>
    <w:rsid w:val="00A55C0F"/>
    <w:rsid w:val="00A566D5"/>
    <w:rsid w:val="00A63A87"/>
    <w:rsid w:val="00A729E0"/>
    <w:rsid w:val="00A8713F"/>
    <w:rsid w:val="00A90BA1"/>
    <w:rsid w:val="00A97A9A"/>
    <w:rsid w:val="00AA0671"/>
    <w:rsid w:val="00AA180E"/>
    <w:rsid w:val="00AA2531"/>
    <w:rsid w:val="00AB1E09"/>
    <w:rsid w:val="00AB5330"/>
    <w:rsid w:val="00AB7747"/>
    <w:rsid w:val="00AC14CE"/>
    <w:rsid w:val="00AC2A56"/>
    <w:rsid w:val="00AD055E"/>
    <w:rsid w:val="00AD47A7"/>
    <w:rsid w:val="00AF0CBF"/>
    <w:rsid w:val="00AF257F"/>
    <w:rsid w:val="00AF33CF"/>
    <w:rsid w:val="00AF4D50"/>
    <w:rsid w:val="00AF6179"/>
    <w:rsid w:val="00B10DBC"/>
    <w:rsid w:val="00B12209"/>
    <w:rsid w:val="00B1295A"/>
    <w:rsid w:val="00B20A45"/>
    <w:rsid w:val="00B22C5C"/>
    <w:rsid w:val="00B24F30"/>
    <w:rsid w:val="00B31ABF"/>
    <w:rsid w:val="00B33BE3"/>
    <w:rsid w:val="00B53B5D"/>
    <w:rsid w:val="00B5443F"/>
    <w:rsid w:val="00B6055E"/>
    <w:rsid w:val="00B6317D"/>
    <w:rsid w:val="00B746C3"/>
    <w:rsid w:val="00B7723F"/>
    <w:rsid w:val="00B80534"/>
    <w:rsid w:val="00B8433C"/>
    <w:rsid w:val="00B87491"/>
    <w:rsid w:val="00BA1EC7"/>
    <w:rsid w:val="00BA29E9"/>
    <w:rsid w:val="00BA7142"/>
    <w:rsid w:val="00BB0CBF"/>
    <w:rsid w:val="00BB237C"/>
    <w:rsid w:val="00BB41A3"/>
    <w:rsid w:val="00BC32DC"/>
    <w:rsid w:val="00BC35B6"/>
    <w:rsid w:val="00BC4596"/>
    <w:rsid w:val="00BC49AE"/>
    <w:rsid w:val="00BC79BE"/>
    <w:rsid w:val="00BD1B51"/>
    <w:rsid w:val="00BD4596"/>
    <w:rsid w:val="00BE1405"/>
    <w:rsid w:val="00BE312D"/>
    <w:rsid w:val="00BE7C99"/>
    <w:rsid w:val="00BF1704"/>
    <w:rsid w:val="00BF1C20"/>
    <w:rsid w:val="00BF691B"/>
    <w:rsid w:val="00C03CAC"/>
    <w:rsid w:val="00C10578"/>
    <w:rsid w:val="00C135BC"/>
    <w:rsid w:val="00C15C95"/>
    <w:rsid w:val="00C223DF"/>
    <w:rsid w:val="00C2596A"/>
    <w:rsid w:val="00C27537"/>
    <w:rsid w:val="00C328FE"/>
    <w:rsid w:val="00C33507"/>
    <w:rsid w:val="00C3396E"/>
    <w:rsid w:val="00C34DAD"/>
    <w:rsid w:val="00C4409D"/>
    <w:rsid w:val="00C44682"/>
    <w:rsid w:val="00C44E72"/>
    <w:rsid w:val="00C45A06"/>
    <w:rsid w:val="00C47E5B"/>
    <w:rsid w:val="00C61E4B"/>
    <w:rsid w:val="00C64BFF"/>
    <w:rsid w:val="00C6664C"/>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278"/>
    <w:rsid w:val="00D0364F"/>
    <w:rsid w:val="00D06834"/>
    <w:rsid w:val="00D07051"/>
    <w:rsid w:val="00D24FF0"/>
    <w:rsid w:val="00D26D9F"/>
    <w:rsid w:val="00D308ED"/>
    <w:rsid w:val="00D36D86"/>
    <w:rsid w:val="00D428AA"/>
    <w:rsid w:val="00D50A34"/>
    <w:rsid w:val="00D530D3"/>
    <w:rsid w:val="00D53EFA"/>
    <w:rsid w:val="00D743B5"/>
    <w:rsid w:val="00D77658"/>
    <w:rsid w:val="00D94A7C"/>
    <w:rsid w:val="00D95896"/>
    <w:rsid w:val="00DB2983"/>
    <w:rsid w:val="00DC0225"/>
    <w:rsid w:val="00DC1257"/>
    <w:rsid w:val="00DC3DC0"/>
    <w:rsid w:val="00DC5B2B"/>
    <w:rsid w:val="00DD318D"/>
    <w:rsid w:val="00DE50B2"/>
    <w:rsid w:val="00DE7DA9"/>
    <w:rsid w:val="00DF2E12"/>
    <w:rsid w:val="00DF514A"/>
    <w:rsid w:val="00DF6690"/>
    <w:rsid w:val="00DF6804"/>
    <w:rsid w:val="00DF7F27"/>
    <w:rsid w:val="00E0358D"/>
    <w:rsid w:val="00E04323"/>
    <w:rsid w:val="00E070A2"/>
    <w:rsid w:val="00E2656A"/>
    <w:rsid w:val="00E412D0"/>
    <w:rsid w:val="00E41A6F"/>
    <w:rsid w:val="00E56322"/>
    <w:rsid w:val="00E60982"/>
    <w:rsid w:val="00E62C62"/>
    <w:rsid w:val="00E654C1"/>
    <w:rsid w:val="00E65D97"/>
    <w:rsid w:val="00E7071C"/>
    <w:rsid w:val="00E72A5A"/>
    <w:rsid w:val="00E73354"/>
    <w:rsid w:val="00E9242D"/>
    <w:rsid w:val="00EB5255"/>
    <w:rsid w:val="00EB5C47"/>
    <w:rsid w:val="00ED0639"/>
    <w:rsid w:val="00EF3FF8"/>
    <w:rsid w:val="00EF4755"/>
    <w:rsid w:val="00EF5BA2"/>
    <w:rsid w:val="00EF7135"/>
    <w:rsid w:val="00F027DB"/>
    <w:rsid w:val="00F14A7A"/>
    <w:rsid w:val="00F22985"/>
    <w:rsid w:val="00F27441"/>
    <w:rsid w:val="00F3383E"/>
    <w:rsid w:val="00F465A7"/>
    <w:rsid w:val="00F50B7C"/>
    <w:rsid w:val="00F550E6"/>
    <w:rsid w:val="00F74345"/>
    <w:rsid w:val="00F80A0A"/>
    <w:rsid w:val="00F82B19"/>
    <w:rsid w:val="00F83EA3"/>
    <w:rsid w:val="00F9212D"/>
    <w:rsid w:val="00F965DA"/>
    <w:rsid w:val="00FA406A"/>
    <w:rsid w:val="00FB503A"/>
    <w:rsid w:val="00FB516C"/>
    <w:rsid w:val="00FD0236"/>
    <w:rsid w:val="00FD18F4"/>
    <w:rsid w:val="00FD54DB"/>
    <w:rsid w:val="00FD619F"/>
    <w:rsid w:val="00FE0DCD"/>
    <w:rsid w:val="00FE547F"/>
    <w:rsid w:val="0102159D"/>
    <w:rsid w:val="01027E5C"/>
    <w:rsid w:val="0103784C"/>
    <w:rsid w:val="01077D50"/>
    <w:rsid w:val="010B7E03"/>
    <w:rsid w:val="010D4B93"/>
    <w:rsid w:val="01117064"/>
    <w:rsid w:val="0115030E"/>
    <w:rsid w:val="011610EC"/>
    <w:rsid w:val="0116312F"/>
    <w:rsid w:val="01172A03"/>
    <w:rsid w:val="01185146"/>
    <w:rsid w:val="011D23E0"/>
    <w:rsid w:val="012111C7"/>
    <w:rsid w:val="0122711E"/>
    <w:rsid w:val="01290F7E"/>
    <w:rsid w:val="01293C05"/>
    <w:rsid w:val="012B6315"/>
    <w:rsid w:val="013046C3"/>
    <w:rsid w:val="01313D51"/>
    <w:rsid w:val="0131436A"/>
    <w:rsid w:val="01336B85"/>
    <w:rsid w:val="01350004"/>
    <w:rsid w:val="01374707"/>
    <w:rsid w:val="01387829"/>
    <w:rsid w:val="013A432D"/>
    <w:rsid w:val="013A706B"/>
    <w:rsid w:val="013C6D65"/>
    <w:rsid w:val="013E6E1F"/>
    <w:rsid w:val="01411E2B"/>
    <w:rsid w:val="01422176"/>
    <w:rsid w:val="01433318"/>
    <w:rsid w:val="014337F8"/>
    <w:rsid w:val="0147153B"/>
    <w:rsid w:val="0147778C"/>
    <w:rsid w:val="014820D6"/>
    <w:rsid w:val="01484457"/>
    <w:rsid w:val="01486EC5"/>
    <w:rsid w:val="014A3CA9"/>
    <w:rsid w:val="014F1898"/>
    <w:rsid w:val="01520363"/>
    <w:rsid w:val="01546D6D"/>
    <w:rsid w:val="01547517"/>
    <w:rsid w:val="01564BF5"/>
    <w:rsid w:val="015D1E09"/>
    <w:rsid w:val="015E0632"/>
    <w:rsid w:val="016043AA"/>
    <w:rsid w:val="016154CD"/>
    <w:rsid w:val="01632467"/>
    <w:rsid w:val="01643005"/>
    <w:rsid w:val="01646466"/>
    <w:rsid w:val="016519C1"/>
    <w:rsid w:val="01680CB6"/>
    <w:rsid w:val="016A6CA4"/>
    <w:rsid w:val="016E2D67"/>
    <w:rsid w:val="017165B7"/>
    <w:rsid w:val="01716632"/>
    <w:rsid w:val="017175B8"/>
    <w:rsid w:val="017312C4"/>
    <w:rsid w:val="017C6D0A"/>
    <w:rsid w:val="017F6E3D"/>
    <w:rsid w:val="01814321"/>
    <w:rsid w:val="01883901"/>
    <w:rsid w:val="018A527A"/>
    <w:rsid w:val="018C0C9E"/>
    <w:rsid w:val="018C16E0"/>
    <w:rsid w:val="018F5F54"/>
    <w:rsid w:val="019147BB"/>
    <w:rsid w:val="01922277"/>
    <w:rsid w:val="019422A6"/>
    <w:rsid w:val="01945828"/>
    <w:rsid w:val="01987FE8"/>
    <w:rsid w:val="019A2980"/>
    <w:rsid w:val="019C5F38"/>
    <w:rsid w:val="01A249C3"/>
    <w:rsid w:val="01A34C40"/>
    <w:rsid w:val="01A742F9"/>
    <w:rsid w:val="01A7647D"/>
    <w:rsid w:val="01A96215"/>
    <w:rsid w:val="01AA54CB"/>
    <w:rsid w:val="01AA7D1B"/>
    <w:rsid w:val="01AC69DF"/>
    <w:rsid w:val="01AE3368"/>
    <w:rsid w:val="01AF11FE"/>
    <w:rsid w:val="01AF5332"/>
    <w:rsid w:val="01B02298"/>
    <w:rsid w:val="01B12E58"/>
    <w:rsid w:val="01B14C06"/>
    <w:rsid w:val="01B43FDD"/>
    <w:rsid w:val="01B7637D"/>
    <w:rsid w:val="01B81F3A"/>
    <w:rsid w:val="01B85F94"/>
    <w:rsid w:val="01BB5A85"/>
    <w:rsid w:val="01BD72A6"/>
    <w:rsid w:val="01BE3883"/>
    <w:rsid w:val="01BF7780"/>
    <w:rsid w:val="01C34939"/>
    <w:rsid w:val="01C74F29"/>
    <w:rsid w:val="01C83AFC"/>
    <w:rsid w:val="01C85A53"/>
    <w:rsid w:val="01C95043"/>
    <w:rsid w:val="01CA21D3"/>
    <w:rsid w:val="01CA55D8"/>
    <w:rsid w:val="01D31020"/>
    <w:rsid w:val="01D41B72"/>
    <w:rsid w:val="01D55966"/>
    <w:rsid w:val="01D83591"/>
    <w:rsid w:val="01DA2F0C"/>
    <w:rsid w:val="01DC168B"/>
    <w:rsid w:val="01DE6EBD"/>
    <w:rsid w:val="01E0674A"/>
    <w:rsid w:val="01E113AF"/>
    <w:rsid w:val="01E21263"/>
    <w:rsid w:val="01E50D53"/>
    <w:rsid w:val="01E62D83"/>
    <w:rsid w:val="01E911DD"/>
    <w:rsid w:val="01E911E5"/>
    <w:rsid w:val="01EB32BD"/>
    <w:rsid w:val="01EC3E90"/>
    <w:rsid w:val="01EC792C"/>
    <w:rsid w:val="01F13DAA"/>
    <w:rsid w:val="01F35B6C"/>
    <w:rsid w:val="01F4244A"/>
    <w:rsid w:val="01F641CE"/>
    <w:rsid w:val="01F65A0C"/>
    <w:rsid w:val="01FB681E"/>
    <w:rsid w:val="01FD7E4B"/>
    <w:rsid w:val="01FE368F"/>
    <w:rsid w:val="0202519B"/>
    <w:rsid w:val="020A4028"/>
    <w:rsid w:val="020E02AA"/>
    <w:rsid w:val="020E339E"/>
    <w:rsid w:val="02100FB3"/>
    <w:rsid w:val="02102D52"/>
    <w:rsid w:val="02145195"/>
    <w:rsid w:val="021565CA"/>
    <w:rsid w:val="02164F15"/>
    <w:rsid w:val="02190C44"/>
    <w:rsid w:val="021B3C85"/>
    <w:rsid w:val="021B7016"/>
    <w:rsid w:val="021D229B"/>
    <w:rsid w:val="021D5C04"/>
    <w:rsid w:val="021F6093"/>
    <w:rsid w:val="022330F1"/>
    <w:rsid w:val="02255F02"/>
    <w:rsid w:val="02271F6D"/>
    <w:rsid w:val="02296E92"/>
    <w:rsid w:val="022E0468"/>
    <w:rsid w:val="02337526"/>
    <w:rsid w:val="02377801"/>
    <w:rsid w:val="02380E83"/>
    <w:rsid w:val="023A109F"/>
    <w:rsid w:val="023D6CAF"/>
    <w:rsid w:val="023F1C86"/>
    <w:rsid w:val="023F2212"/>
    <w:rsid w:val="024100C8"/>
    <w:rsid w:val="024122E1"/>
    <w:rsid w:val="02435720"/>
    <w:rsid w:val="02437BAE"/>
    <w:rsid w:val="02445D16"/>
    <w:rsid w:val="0249507F"/>
    <w:rsid w:val="02497895"/>
    <w:rsid w:val="024B6455"/>
    <w:rsid w:val="024C3A23"/>
    <w:rsid w:val="024C4760"/>
    <w:rsid w:val="024D153C"/>
    <w:rsid w:val="0250441F"/>
    <w:rsid w:val="025113ED"/>
    <w:rsid w:val="02516516"/>
    <w:rsid w:val="0253306A"/>
    <w:rsid w:val="02535CBD"/>
    <w:rsid w:val="02551A35"/>
    <w:rsid w:val="0257247D"/>
    <w:rsid w:val="025832D3"/>
    <w:rsid w:val="025862CC"/>
    <w:rsid w:val="02587777"/>
    <w:rsid w:val="02595A18"/>
    <w:rsid w:val="025A205F"/>
    <w:rsid w:val="025A529E"/>
    <w:rsid w:val="025F2028"/>
    <w:rsid w:val="026240C3"/>
    <w:rsid w:val="026545BD"/>
    <w:rsid w:val="02657B48"/>
    <w:rsid w:val="02663C42"/>
    <w:rsid w:val="02664AA4"/>
    <w:rsid w:val="02682B50"/>
    <w:rsid w:val="02697903"/>
    <w:rsid w:val="026A1615"/>
    <w:rsid w:val="026B7463"/>
    <w:rsid w:val="026C4FD1"/>
    <w:rsid w:val="027027D5"/>
    <w:rsid w:val="02717475"/>
    <w:rsid w:val="02785724"/>
    <w:rsid w:val="027876D9"/>
    <w:rsid w:val="027C37EB"/>
    <w:rsid w:val="027C7D5F"/>
    <w:rsid w:val="027F622C"/>
    <w:rsid w:val="02810A7C"/>
    <w:rsid w:val="02844ACF"/>
    <w:rsid w:val="02867E41"/>
    <w:rsid w:val="02873320"/>
    <w:rsid w:val="02891635"/>
    <w:rsid w:val="028E4F47"/>
    <w:rsid w:val="028F1BEC"/>
    <w:rsid w:val="028F5685"/>
    <w:rsid w:val="02922E8B"/>
    <w:rsid w:val="02930F82"/>
    <w:rsid w:val="02947428"/>
    <w:rsid w:val="02947E24"/>
    <w:rsid w:val="029562D6"/>
    <w:rsid w:val="02965E8B"/>
    <w:rsid w:val="029C13B4"/>
    <w:rsid w:val="029C3B08"/>
    <w:rsid w:val="029E5A65"/>
    <w:rsid w:val="02A037F9"/>
    <w:rsid w:val="02A3019D"/>
    <w:rsid w:val="02A641F7"/>
    <w:rsid w:val="02A66735"/>
    <w:rsid w:val="02A76009"/>
    <w:rsid w:val="02A86B17"/>
    <w:rsid w:val="02AD14F9"/>
    <w:rsid w:val="02B07E7A"/>
    <w:rsid w:val="02B20C36"/>
    <w:rsid w:val="02B34059"/>
    <w:rsid w:val="02B45183"/>
    <w:rsid w:val="02B51ABE"/>
    <w:rsid w:val="02B7624C"/>
    <w:rsid w:val="02B80216"/>
    <w:rsid w:val="02B95CC9"/>
    <w:rsid w:val="02B966FD"/>
    <w:rsid w:val="02C06ED9"/>
    <w:rsid w:val="02C5225B"/>
    <w:rsid w:val="02C63F3C"/>
    <w:rsid w:val="02C72207"/>
    <w:rsid w:val="02C87EC9"/>
    <w:rsid w:val="02C94818"/>
    <w:rsid w:val="02CA04E4"/>
    <w:rsid w:val="02CA2696"/>
    <w:rsid w:val="02CA35B3"/>
    <w:rsid w:val="02CA752E"/>
    <w:rsid w:val="02CB2F65"/>
    <w:rsid w:val="02CD745C"/>
    <w:rsid w:val="02D021CA"/>
    <w:rsid w:val="02D03F49"/>
    <w:rsid w:val="02D069BF"/>
    <w:rsid w:val="02D501FD"/>
    <w:rsid w:val="02D90F44"/>
    <w:rsid w:val="02DA3167"/>
    <w:rsid w:val="02DA4630"/>
    <w:rsid w:val="02DB7842"/>
    <w:rsid w:val="02E1151B"/>
    <w:rsid w:val="02E15A9D"/>
    <w:rsid w:val="02E1776D"/>
    <w:rsid w:val="02E30613"/>
    <w:rsid w:val="02E55334"/>
    <w:rsid w:val="02E62FD5"/>
    <w:rsid w:val="02E6411C"/>
    <w:rsid w:val="02E80AFB"/>
    <w:rsid w:val="02EB05EB"/>
    <w:rsid w:val="02EE6D14"/>
    <w:rsid w:val="02EE7E1C"/>
    <w:rsid w:val="02F543A3"/>
    <w:rsid w:val="02F96569"/>
    <w:rsid w:val="02FA082F"/>
    <w:rsid w:val="02FE20CD"/>
    <w:rsid w:val="02FE4CD0"/>
    <w:rsid w:val="02FF0DA1"/>
    <w:rsid w:val="0301778B"/>
    <w:rsid w:val="03035935"/>
    <w:rsid w:val="030376E3"/>
    <w:rsid w:val="030516AD"/>
    <w:rsid w:val="03060F81"/>
    <w:rsid w:val="03071414"/>
    <w:rsid w:val="030745A9"/>
    <w:rsid w:val="030F42DA"/>
    <w:rsid w:val="030F785A"/>
    <w:rsid w:val="03163DC7"/>
    <w:rsid w:val="03167862"/>
    <w:rsid w:val="03180436"/>
    <w:rsid w:val="03185126"/>
    <w:rsid w:val="031A4A2D"/>
    <w:rsid w:val="031B6CB5"/>
    <w:rsid w:val="031C4FA4"/>
    <w:rsid w:val="031E2A68"/>
    <w:rsid w:val="0322061F"/>
    <w:rsid w:val="03277F69"/>
    <w:rsid w:val="032A4696"/>
    <w:rsid w:val="032C50D4"/>
    <w:rsid w:val="03305FFE"/>
    <w:rsid w:val="03353615"/>
    <w:rsid w:val="0336358C"/>
    <w:rsid w:val="033E071B"/>
    <w:rsid w:val="03401061"/>
    <w:rsid w:val="034271EC"/>
    <w:rsid w:val="03463A74"/>
    <w:rsid w:val="03483348"/>
    <w:rsid w:val="03492637"/>
    <w:rsid w:val="034936B8"/>
    <w:rsid w:val="03494293"/>
    <w:rsid w:val="034B0FFA"/>
    <w:rsid w:val="034B15E1"/>
    <w:rsid w:val="034D2FF6"/>
    <w:rsid w:val="034E4195"/>
    <w:rsid w:val="034F7778"/>
    <w:rsid w:val="03534E5B"/>
    <w:rsid w:val="035544AB"/>
    <w:rsid w:val="03554A7E"/>
    <w:rsid w:val="03566EDD"/>
    <w:rsid w:val="03572507"/>
    <w:rsid w:val="035E0DBD"/>
    <w:rsid w:val="0361440A"/>
    <w:rsid w:val="03637D6D"/>
    <w:rsid w:val="03651F96"/>
    <w:rsid w:val="03655CA8"/>
    <w:rsid w:val="0368037D"/>
    <w:rsid w:val="036839EA"/>
    <w:rsid w:val="036C5C5C"/>
    <w:rsid w:val="036D1000"/>
    <w:rsid w:val="036D2DAF"/>
    <w:rsid w:val="036F39FE"/>
    <w:rsid w:val="03705342"/>
    <w:rsid w:val="03710AF1"/>
    <w:rsid w:val="03771797"/>
    <w:rsid w:val="037828F6"/>
    <w:rsid w:val="037979A5"/>
    <w:rsid w:val="037D52F4"/>
    <w:rsid w:val="037E4FBC"/>
    <w:rsid w:val="03804932"/>
    <w:rsid w:val="03861BCD"/>
    <w:rsid w:val="03875D7D"/>
    <w:rsid w:val="038A19A0"/>
    <w:rsid w:val="038B3DD7"/>
    <w:rsid w:val="038C0766"/>
    <w:rsid w:val="038F06B6"/>
    <w:rsid w:val="03914CEF"/>
    <w:rsid w:val="03920A67"/>
    <w:rsid w:val="039447DF"/>
    <w:rsid w:val="03947474"/>
    <w:rsid w:val="03962305"/>
    <w:rsid w:val="039A3517"/>
    <w:rsid w:val="039A4ABB"/>
    <w:rsid w:val="039C3694"/>
    <w:rsid w:val="039C7218"/>
    <w:rsid w:val="039D08E1"/>
    <w:rsid w:val="03A013D6"/>
    <w:rsid w:val="03A03184"/>
    <w:rsid w:val="03A23599"/>
    <w:rsid w:val="03A408B9"/>
    <w:rsid w:val="03A42342"/>
    <w:rsid w:val="03A62B69"/>
    <w:rsid w:val="03A74512"/>
    <w:rsid w:val="03AA5DB1"/>
    <w:rsid w:val="03AF0D94"/>
    <w:rsid w:val="03B168C0"/>
    <w:rsid w:val="03B211BE"/>
    <w:rsid w:val="03B61BE9"/>
    <w:rsid w:val="03B85240"/>
    <w:rsid w:val="03B86720"/>
    <w:rsid w:val="03BA629E"/>
    <w:rsid w:val="03BB6210"/>
    <w:rsid w:val="03BD7E8B"/>
    <w:rsid w:val="03C05C95"/>
    <w:rsid w:val="03C07382"/>
    <w:rsid w:val="03C91556"/>
    <w:rsid w:val="03C93DCC"/>
    <w:rsid w:val="03CA7146"/>
    <w:rsid w:val="03CF3FA4"/>
    <w:rsid w:val="03CF6F0E"/>
    <w:rsid w:val="03D17B57"/>
    <w:rsid w:val="03D21EDD"/>
    <w:rsid w:val="03D53CE1"/>
    <w:rsid w:val="03D60CAD"/>
    <w:rsid w:val="03D8291E"/>
    <w:rsid w:val="03D86BB5"/>
    <w:rsid w:val="03DF1C91"/>
    <w:rsid w:val="03E017D2"/>
    <w:rsid w:val="03E47515"/>
    <w:rsid w:val="03E92459"/>
    <w:rsid w:val="03EA26AC"/>
    <w:rsid w:val="03EA7B21"/>
    <w:rsid w:val="03EF00D4"/>
    <w:rsid w:val="03EF3984"/>
    <w:rsid w:val="03EF3BAA"/>
    <w:rsid w:val="03EF41DA"/>
    <w:rsid w:val="03F111A2"/>
    <w:rsid w:val="03F1578E"/>
    <w:rsid w:val="03F21658"/>
    <w:rsid w:val="03F31506"/>
    <w:rsid w:val="03F3695B"/>
    <w:rsid w:val="03F401AA"/>
    <w:rsid w:val="03F51722"/>
    <w:rsid w:val="03F57E82"/>
    <w:rsid w:val="03F62ABB"/>
    <w:rsid w:val="03F62DA4"/>
    <w:rsid w:val="03F859D8"/>
    <w:rsid w:val="03FB03BA"/>
    <w:rsid w:val="03FD05D6"/>
    <w:rsid w:val="03FF1981"/>
    <w:rsid w:val="04023D7F"/>
    <w:rsid w:val="04044F25"/>
    <w:rsid w:val="040B23AA"/>
    <w:rsid w:val="040E5BF2"/>
    <w:rsid w:val="040E6340"/>
    <w:rsid w:val="04107627"/>
    <w:rsid w:val="041263AF"/>
    <w:rsid w:val="0414147C"/>
    <w:rsid w:val="04166BDB"/>
    <w:rsid w:val="041760C2"/>
    <w:rsid w:val="041871BE"/>
    <w:rsid w:val="041B6DBA"/>
    <w:rsid w:val="041D2A27"/>
    <w:rsid w:val="041D5355"/>
    <w:rsid w:val="04253BBE"/>
    <w:rsid w:val="04277401"/>
    <w:rsid w:val="04277CBD"/>
    <w:rsid w:val="042E07BE"/>
    <w:rsid w:val="04333FF8"/>
    <w:rsid w:val="043731E6"/>
    <w:rsid w:val="0438050A"/>
    <w:rsid w:val="043A7C69"/>
    <w:rsid w:val="043B2C91"/>
    <w:rsid w:val="043F2394"/>
    <w:rsid w:val="04411FD3"/>
    <w:rsid w:val="04415D9F"/>
    <w:rsid w:val="044250AF"/>
    <w:rsid w:val="04472314"/>
    <w:rsid w:val="04487E8C"/>
    <w:rsid w:val="04496E5A"/>
    <w:rsid w:val="044C0C16"/>
    <w:rsid w:val="044C6812"/>
    <w:rsid w:val="04524C1A"/>
    <w:rsid w:val="04530542"/>
    <w:rsid w:val="04560A5F"/>
    <w:rsid w:val="04566490"/>
    <w:rsid w:val="04567CE7"/>
    <w:rsid w:val="045A5420"/>
    <w:rsid w:val="045A70A6"/>
    <w:rsid w:val="045D1075"/>
    <w:rsid w:val="045D2E23"/>
    <w:rsid w:val="046046C1"/>
    <w:rsid w:val="046226B5"/>
    <w:rsid w:val="0466617C"/>
    <w:rsid w:val="04671EF4"/>
    <w:rsid w:val="046E49FF"/>
    <w:rsid w:val="047C599F"/>
    <w:rsid w:val="047D34C5"/>
    <w:rsid w:val="04803CFA"/>
    <w:rsid w:val="04833712"/>
    <w:rsid w:val="04841AA3"/>
    <w:rsid w:val="048605CC"/>
    <w:rsid w:val="04863130"/>
    <w:rsid w:val="048E1BD2"/>
    <w:rsid w:val="048E7480"/>
    <w:rsid w:val="04947FC1"/>
    <w:rsid w:val="0495080F"/>
    <w:rsid w:val="04983177"/>
    <w:rsid w:val="049C6DAF"/>
    <w:rsid w:val="04A016E6"/>
    <w:rsid w:val="04A10811"/>
    <w:rsid w:val="04A12750"/>
    <w:rsid w:val="04A15B10"/>
    <w:rsid w:val="04A478CB"/>
    <w:rsid w:val="04A503C2"/>
    <w:rsid w:val="04A722F0"/>
    <w:rsid w:val="04A76538"/>
    <w:rsid w:val="04AA4E72"/>
    <w:rsid w:val="04AB6065"/>
    <w:rsid w:val="04AC5B58"/>
    <w:rsid w:val="04AF25BF"/>
    <w:rsid w:val="04B07EED"/>
    <w:rsid w:val="04B23745"/>
    <w:rsid w:val="04B31043"/>
    <w:rsid w:val="04B54A0D"/>
    <w:rsid w:val="04B64ED6"/>
    <w:rsid w:val="04B67716"/>
    <w:rsid w:val="04B844FD"/>
    <w:rsid w:val="04BD04CB"/>
    <w:rsid w:val="04BE6847"/>
    <w:rsid w:val="04BF763A"/>
    <w:rsid w:val="04C335CE"/>
    <w:rsid w:val="04C50C9E"/>
    <w:rsid w:val="04C8070D"/>
    <w:rsid w:val="04C82992"/>
    <w:rsid w:val="04C84FA9"/>
    <w:rsid w:val="04CB2483"/>
    <w:rsid w:val="04CD51E1"/>
    <w:rsid w:val="04CF4D70"/>
    <w:rsid w:val="04D00221"/>
    <w:rsid w:val="04D10DAE"/>
    <w:rsid w:val="04D1736D"/>
    <w:rsid w:val="04D44224"/>
    <w:rsid w:val="04D550AF"/>
    <w:rsid w:val="04DA369C"/>
    <w:rsid w:val="04DB35E1"/>
    <w:rsid w:val="04DC08F7"/>
    <w:rsid w:val="04DD3F64"/>
    <w:rsid w:val="04DF357B"/>
    <w:rsid w:val="04E57B6D"/>
    <w:rsid w:val="04E80EFE"/>
    <w:rsid w:val="04E92909"/>
    <w:rsid w:val="04E94A97"/>
    <w:rsid w:val="04EC0361"/>
    <w:rsid w:val="04EE687A"/>
    <w:rsid w:val="04EF3743"/>
    <w:rsid w:val="04F0388C"/>
    <w:rsid w:val="04F03C97"/>
    <w:rsid w:val="04F3414D"/>
    <w:rsid w:val="04FA7D9E"/>
    <w:rsid w:val="04FB6815"/>
    <w:rsid w:val="04FC088E"/>
    <w:rsid w:val="04FD77EF"/>
    <w:rsid w:val="04FE05EF"/>
    <w:rsid w:val="04FF1AF7"/>
    <w:rsid w:val="05001990"/>
    <w:rsid w:val="05015EA4"/>
    <w:rsid w:val="050173DA"/>
    <w:rsid w:val="050216B7"/>
    <w:rsid w:val="05036F0A"/>
    <w:rsid w:val="050445A0"/>
    <w:rsid w:val="05080DE3"/>
    <w:rsid w:val="050A242F"/>
    <w:rsid w:val="050D308B"/>
    <w:rsid w:val="050D620E"/>
    <w:rsid w:val="05104339"/>
    <w:rsid w:val="051437F5"/>
    <w:rsid w:val="05143E2A"/>
    <w:rsid w:val="05145BD8"/>
    <w:rsid w:val="05155BAD"/>
    <w:rsid w:val="051824E6"/>
    <w:rsid w:val="051931EE"/>
    <w:rsid w:val="051C2CDE"/>
    <w:rsid w:val="051E0804"/>
    <w:rsid w:val="051E6A56"/>
    <w:rsid w:val="0521006F"/>
    <w:rsid w:val="05250E08"/>
    <w:rsid w:val="05256223"/>
    <w:rsid w:val="052676B9"/>
    <w:rsid w:val="052C4E52"/>
    <w:rsid w:val="05353FD7"/>
    <w:rsid w:val="053718C6"/>
    <w:rsid w:val="05383610"/>
    <w:rsid w:val="053E4812"/>
    <w:rsid w:val="053F5434"/>
    <w:rsid w:val="053F6B0B"/>
    <w:rsid w:val="05410997"/>
    <w:rsid w:val="05420FF2"/>
    <w:rsid w:val="05426CA7"/>
    <w:rsid w:val="05436F4F"/>
    <w:rsid w:val="054B7B98"/>
    <w:rsid w:val="054C28AE"/>
    <w:rsid w:val="054D733B"/>
    <w:rsid w:val="05504736"/>
    <w:rsid w:val="05547D1F"/>
    <w:rsid w:val="05597349"/>
    <w:rsid w:val="055A5A71"/>
    <w:rsid w:val="055C132D"/>
    <w:rsid w:val="05633DE9"/>
    <w:rsid w:val="05641B82"/>
    <w:rsid w:val="05654685"/>
    <w:rsid w:val="056D057B"/>
    <w:rsid w:val="056D178C"/>
    <w:rsid w:val="057172AC"/>
    <w:rsid w:val="0582017A"/>
    <w:rsid w:val="058256C0"/>
    <w:rsid w:val="058413D4"/>
    <w:rsid w:val="05880374"/>
    <w:rsid w:val="058B7686"/>
    <w:rsid w:val="058C4EB7"/>
    <w:rsid w:val="058D7738"/>
    <w:rsid w:val="05900FD6"/>
    <w:rsid w:val="059053A1"/>
    <w:rsid w:val="05912B61"/>
    <w:rsid w:val="05914B9C"/>
    <w:rsid w:val="059210FD"/>
    <w:rsid w:val="05922FA0"/>
    <w:rsid w:val="0599432F"/>
    <w:rsid w:val="05994388"/>
    <w:rsid w:val="059A2B0B"/>
    <w:rsid w:val="059B1E55"/>
    <w:rsid w:val="059D4DD4"/>
    <w:rsid w:val="059E7B97"/>
    <w:rsid w:val="059F1644"/>
    <w:rsid w:val="059F3A06"/>
    <w:rsid w:val="05A04950"/>
    <w:rsid w:val="05A50F26"/>
    <w:rsid w:val="05A54A82"/>
    <w:rsid w:val="05A67BC6"/>
    <w:rsid w:val="05AA620B"/>
    <w:rsid w:val="05AB3032"/>
    <w:rsid w:val="05AC7BC4"/>
    <w:rsid w:val="05AD40B0"/>
    <w:rsid w:val="05B247B8"/>
    <w:rsid w:val="05B46500"/>
    <w:rsid w:val="05B55404"/>
    <w:rsid w:val="05BA3C15"/>
    <w:rsid w:val="05BB210C"/>
    <w:rsid w:val="05BC5756"/>
    <w:rsid w:val="05BF7010"/>
    <w:rsid w:val="05C22045"/>
    <w:rsid w:val="05CD44FF"/>
    <w:rsid w:val="05CD74A4"/>
    <w:rsid w:val="05CF5FA2"/>
    <w:rsid w:val="05D25154"/>
    <w:rsid w:val="05D34559"/>
    <w:rsid w:val="05D62E8D"/>
    <w:rsid w:val="05D76201"/>
    <w:rsid w:val="05DB1D7B"/>
    <w:rsid w:val="05E02F6A"/>
    <w:rsid w:val="05E0327B"/>
    <w:rsid w:val="05E11060"/>
    <w:rsid w:val="05E12C91"/>
    <w:rsid w:val="05E17AEA"/>
    <w:rsid w:val="05E22050"/>
    <w:rsid w:val="05E30579"/>
    <w:rsid w:val="05E7368B"/>
    <w:rsid w:val="05EA6938"/>
    <w:rsid w:val="05EB02A9"/>
    <w:rsid w:val="05F02E27"/>
    <w:rsid w:val="05F13F79"/>
    <w:rsid w:val="05F226EE"/>
    <w:rsid w:val="05F3515E"/>
    <w:rsid w:val="05F42AD4"/>
    <w:rsid w:val="05F44D1F"/>
    <w:rsid w:val="05F83EAE"/>
    <w:rsid w:val="05F92624"/>
    <w:rsid w:val="05FD76C1"/>
    <w:rsid w:val="05FE2C2D"/>
    <w:rsid w:val="05FE4192"/>
    <w:rsid w:val="060043AE"/>
    <w:rsid w:val="060230FC"/>
    <w:rsid w:val="06023C82"/>
    <w:rsid w:val="06053772"/>
    <w:rsid w:val="060D2627"/>
    <w:rsid w:val="060D73F5"/>
    <w:rsid w:val="060F3802"/>
    <w:rsid w:val="06103B76"/>
    <w:rsid w:val="061439B5"/>
    <w:rsid w:val="0616597F"/>
    <w:rsid w:val="06182F0F"/>
    <w:rsid w:val="061A5470"/>
    <w:rsid w:val="061B4AAE"/>
    <w:rsid w:val="061C7AE4"/>
    <w:rsid w:val="061D3515"/>
    <w:rsid w:val="061E0340"/>
    <w:rsid w:val="061E65E2"/>
    <w:rsid w:val="06210291"/>
    <w:rsid w:val="06235B63"/>
    <w:rsid w:val="06241EE9"/>
    <w:rsid w:val="062449FC"/>
    <w:rsid w:val="06293905"/>
    <w:rsid w:val="062A4F87"/>
    <w:rsid w:val="062A55A9"/>
    <w:rsid w:val="062E2B52"/>
    <w:rsid w:val="06306DDD"/>
    <w:rsid w:val="06357182"/>
    <w:rsid w:val="0639341C"/>
    <w:rsid w:val="063E7D85"/>
    <w:rsid w:val="063F775D"/>
    <w:rsid w:val="0642769F"/>
    <w:rsid w:val="06427D8E"/>
    <w:rsid w:val="06450E8C"/>
    <w:rsid w:val="06453B5F"/>
    <w:rsid w:val="064709B2"/>
    <w:rsid w:val="06471158"/>
    <w:rsid w:val="06494250"/>
    <w:rsid w:val="06497B03"/>
    <w:rsid w:val="06536231"/>
    <w:rsid w:val="06546160"/>
    <w:rsid w:val="06565D7C"/>
    <w:rsid w:val="06571574"/>
    <w:rsid w:val="065B415C"/>
    <w:rsid w:val="06620BC5"/>
    <w:rsid w:val="06626D0A"/>
    <w:rsid w:val="06653185"/>
    <w:rsid w:val="06660C3D"/>
    <w:rsid w:val="06662D44"/>
    <w:rsid w:val="066A2E36"/>
    <w:rsid w:val="066A72CE"/>
    <w:rsid w:val="066C559F"/>
    <w:rsid w:val="06702487"/>
    <w:rsid w:val="06710E08"/>
    <w:rsid w:val="06716E48"/>
    <w:rsid w:val="06724F56"/>
    <w:rsid w:val="06732DD2"/>
    <w:rsid w:val="067505D3"/>
    <w:rsid w:val="06764670"/>
    <w:rsid w:val="067A5F0E"/>
    <w:rsid w:val="0680104B"/>
    <w:rsid w:val="068066B8"/>
    <w:rsid w:val="0685512E"/>
    <w:rsid w:val="068648B3"/>
    <w:rsid w:val="0687062B"/>
    <w:rsid w:val="06874187"/>
    <w:rsid w:val="068A2DBA"/>
    <w:rsid w:val="06902476"/>
    <w:rsid w:val="069074E0"/>
    <w:rsid w:val="06925DD3"/>
    <w:rsid w:val="06932285"/>
    <w:rsid w:val="069404DB"/>
    <w:rsid w:val="06963DFC"/>
    <w:rsid w:val="06976AC0"/>
    <w:rsid w:val="069C1ED5"/>
    <w:rsid w:val="069D39AB"/>
    <w:rsid w:val="06A06095"/>
    <w:rsid w:val="06A37937"/>
    <w:rsid w:val="06A66DE9"/>
    <w:rsid w:val="06AB6538"/>
    <w:rsid w:val="06AC5AB4"/>
    <w:rsid w:val="06AD0481"/>
    <w:rsid w:val="06AF44F6"/>
    <w:rsid w:val="06B17D4E"/>
    <w:rsid w:val="06B43837"/>
    <w:rsid w:val="06B6301D"/>
    <w:rsid w:val="06B640B5"/>
    <w:rsid w:val="06BC6A39"/>
    <w:rsid w:val="06BF7045"/>
    <w:rsid w:val="06C50E73"/>
    <w:rsid w:val="06C57B67"/>
    <w:rsid w:val="06C76681"/>
    <w:rsid w:val="06C913BB"/>
    <w:rsid w:val="06CA48A5"/>
    <w:rsid w:val="06CA7953"/>
    <w:rsid w:val="06CB49BC"/>
    <w:rsid w:val="06CC44A8"/>
    <w:rsid w:val="06CC597B"/>
    <w:rsid w:val="06CE625A"/>
    <w:rsid w:val="06D810C4"/>
    <w:rsid w:val="06D91FC5"/>
    <w:rsid w:val="06D978F7"/>
    <w:rsid w:val="06DA028A"/>
    <w:rsid w:val="06DA4BFF"/>
    <w:rsid w:val="06DC2725"/>
    <w:rsid w:val="06DD7FFE"/>
    <w:rsid w:val="06DF7E95"/>
    <w:rsid w:val="06E03F5B"/>
    <w:rsid w:val="06E11AE9"/>
    <w:rsid w:val="06E23E58"/>
    <w:rsid w:val="06E25862"/>
    <w:rsid w:val="06E36552"/>
    <w:rsid w:val="06E415DA"/>
    <w:rsid w:val="06E544AB"/>
    <w:rsid w:val="06E706C3"/>
    <w:rsid w:val="06E94225"/>
    <w:rsid w:val="06F05E4C"/>
    <w:rsid w:val="06F103EA"/>
    <w:rsid w:val="06F1464C"/>
    <w:rsid w:val="06F25FA8"/>
    <w:rsid w:val="06F40A7A"/>
    <w:rsid w:val="06F6179A"/>
    <w:rsid w:val="06F8436F"/>
    <w:rsid w:val="06FF6944"/>
    <w:rsid w:val="07016ECC"/>
    <w:rsid w:val="07041373"/>
    <w:rsid w:val="070659F4"/>
    <w:rsid w:val="070677A2"/>
    <w:rsid w:val="070B4DB8"/>
    <w:rsid w:val="070D0A19"/>
    <w:rsid w:val="07120542"/>
    <w:rsid w:val="0712236D"/>
    <w:rsid w:val="07140111"/>
    <w:rsid w:val="07160E96"/>
    <w:rsid w:val="071E08D7"/>
    <w:rsid w:val="071E2D3E"/>
    <w:rsid w:val="071E6D24"/>
    <w:rsid w:val="071F11E5"/>
    <w:rsid w:val="072440CC"/>
    <w:rsid w:val="07261AEF"/>
    <w:rsid w:val="0728596A"/>
    <w:rsid w:val="07293586"/>
    <w:rsid w:val="07295285"/>
    <w:rsid w:val="072B38F7"/>
    <w:rsid w:val="072B545A"/>
    <w:rsid w:val="072D2F81"/>
    <w:rsid w:val="072E6CF9"/>
    <w:rsid w:val="073360BD"/>
    <w:rsid w:val="07337D82"/>
    <w:rsid w:val="07366966"/>
    <w:rsid w:val="0738004E"/>
    <w:rsid w:val="073827E7"/>
    <w:rsid w:val="07384550"/>
    <w:rsid w:val="073D0CEA"/>
    <w:rsid w:val="074029FF"/>
    <w:rsid w:val="07432957"/>
    <w:rsid w:val="07435ABD"/>
    <w:rsid w:val="07442078"/>
    <w:rsid w:val="07481D5F"/>
    <w:rsid w:val="074B147E"/>
    <w:rsid w:val="074B546A"/>
    <w:rsid w:val="074B78AB"/>
    <w:rsid w:val="074E2EF7"/>
    <w:rsid w:val="074F1149"/>
    <w:rsid w:val="0753050D"/>
    <w:rsid w:val="07571140"/>
    <w:rsid w:val="0758265A"/>
    <w:rsid w:val="075869C6"/>
    <w:rsid w:val="07593D51"/>
    <w:rsid w:val="075B406D"/>
    <w:rsid w:val="07621A2C"/>
    <w:rsid w:val="07636392"/>
    <w:rsid w:val="076455C0"/>
    <w:rsid w:val="076626FE"/>
    <w:rsid w:val="07691ADF"/>
    <w:rsid w:val="076A249C"/>
    <w:rsid w:val="076B2410"/>
    <w:rsid w:val="076F4616"/>
    <w:rsid w:val="077268F1"/>
    <w:rsid w:val="07743A6B"/>
    <w:rsid w:val="077520F8"/>
    <w:rsid w:val="07770C56"/>
    <w:rsid w:val="0778132D"/>
    <w:rsid w:val="07793543"/>
    <w:rsid w:val="07794418"/>
    <w:rsid w:val="07796682"/>
    <w:rsid w:val="077C3170"/>
    <w:rsid w:val="077C66E4"/>
    <w:rsid w:val="077D267A"/>
    <w:rsid w:val="07804F0A"/>
    <w:rsid w:val="07841064"/>
    <w:rsid w:val="07852DBD"/>
    <w:rsid w:val="07882DD0"/>
    <w:rsid w:val="0788465B"/>
    <w:rsid w:val="078A0E65"/>
    <w:rsid w:val="078A3D0D"/>
    <w:rsid w:val="078C305E"/>
    <w:rsid w:val="078D24ED"/>
    <w:rsid w:val="0791652A"/>
    <w:rsid w:val="0792250B"/>
    <w:rsid w:val="079254DA"/>
    <w:rsid w:val="07926F4E"/>
    <w:rsid w:val="07943000"/>
    <w:rsid w:val="079453C8"/>
    <w:rsid w:val="07950EB6"/>
    <w:rsid w:val="07972AF0"/>
    <w:rsid w:val="079923C4"/>
    <w:rsid w:val="079D5FE9"/>
    <w:rsid w:val="079E5C2C"/>
    <w:rsid w:val="079F14F7"/>
    <w:rsid w:val="07A25BD9"/>
    <w:rsid w:val="07A56FBB"/>
    <w:rsid w:val="07A66E8D"/>
    <w:rsid w:val="07AE0077"/>
    <w:rsid w:val="07AE48F9"/>
    <w:rsid w:val="07B16DD1"/>
    <w:rsid w:val="07B269DF"/>
    <w:rsid w:val="07B97B52"/>
    <w:rsid w:val="07BB67DE"/>
    <w:rsid w:val="07BD26BB"/>
    <w:rsid w:val="07C40219"/>
    <w:rsid w:val="07C55B54"/>
    <w:rsid w:val="07CC273F"/>
    <w:rsid w:val="07CC4FFA"/>
    <w:rsid w:val="07CD206E"/>
    <w:rsid w:val="07CF6A16"/>
    <w:rsid w:val="07D01B5E"/>
    <w:rsid w:val="07D478A0"/>
    <w:rsid w:val="07D56B73"/>
    <w:rsid w:val="07D63618"/>
    <w:rsid w:val="07D72EEC"/>
    <w:rsid w:val="07D92090"/>
    <w:rsid w:val="07DB59AD"/>
    <w:rsid w:val="07DB6964"/>
    <w:rsid w:val="07DC0503"/>
    <w:rsid w:val="07DE0F33"/>
    <w:rsid w:val="07DE5105"/>
    <w:rsid w:val="07E12563"/>
    <w:rsid w:val="07E65455"/>
    <w:rsid w:val="07E77B21"/>
    <w:rsid w:val="07E8334B"/>
    <w:rsid w:val="07E95234"/>
    <w:rsid w:val="07EC7122"/>
    <w:rsid w:val="07ED25AB"/>
    <w:rsid w:val="07EF2DEB"/>
    <w:rsid w:val="07F211AB"/>
    <w:rsid w:val="07F249E3"/>
    <w:rsid w:val="07F35AC3"/>
    <w:rsid w:val="07F52143"/>
    <w:rsid w:val="07FD5D36"/>
    <w:rsid w:val="07FE491D"/>
    <w:rsid w:val="07FF0ACF"/>
    <w:rsid w:val="07FF3A37"/>
    <w:rsid w:val="080430E3"/>
    <w:rsid w:val="0805549D"/>
    <w:rsid w:val="08062832"/>
    <w:rsid w:val="080737D2"/>
    <w:rsid w:val="08083537"/>
    <w:rsid w:val="080A0B4A"/>
    <w:rsid w:val="080B56BF"/>
    <w:rsid w:val="080D2DB2"/>
    <w:rsid w:val="080D690E"/>
    <w:rsid w:val="080D7AF2"/>
    <w:rsid w:val="081056F1"/>
    <w:rsid w:val="08110A1D"/>
    <w:rsid w:val="081128A2"/>
    <w:rsid w:val="08115B83"/>
    <w:rsid w:val="08174814"/>
    <w:rsid w:val="081F3635"/>
    <w:rsid w:val="081F7BF6"/>
    <w:rsid w:val="08202AE5"/>
    <w:rsid w:val="082108D7"/>
    <w:rsid w:val="08220DBE"/>
    <w:rsid w:val="08234384"/>
    <w:rsid w:val="082452B0"/>
    <w:rsid w:val="08274CDB"/>
    <w:rsid w:val="08275C22"/>
    <w:rsid w:val="0827755A"/>
    <w:rsid w:val="082949EB"/>
    <w:rsid w:val="082B2A54"/>
    <w:rsid w:val="082D50C8"/>
    <w:rsid w:val="082E6B3D"/>
    <w:rsid w:val="08314506"/>
    <w:rsid w:val="083640B7"/>
    <w:rsid w:val="0837267E"/>
    <w:rsid w:val="083B16CD"/>
    <w:rsid w:val="083C775E"/>
    <w:rsid w:val="08406CE4"/>
    <w:rsid w:val="08410EF5"/>
    <w:rsid w:val="08411A54"/>
    <w:rsid w:val="0844165D"/>
    <w:rsid w:val="08444A26"/>
    <w:rsid w:val="0845570D"/>
    <w:rsid w:val="08494065"/>
    <w:rsid w:val="08497C26"/>
    <w:rsid w:val="084A3A02"/>
    <w:rsid w:val="084B2C6D"/>
    <w:rsid w:val="084E1AF7"/>
    <w:rsid w:val="084E65E3"/>
    <w:rsid w:val="084E7339"/>
    <w:rsid w:val="084F5D6B"/>
    <w:rsid w:val="085207C5"/>
    <w:rsid w:val="08527FDD"/>
    <w:rsid w:val="08534030"/>
    <w:rsid w:val="085911F2"/>
    <w:rsid w:val="08626AEF"/>
    <w:rsid w:val="086329D2"/>
    <w:rsid w:val="08633AA6"/>
    <w:rsid w:val="086461EB"/>
    <w:rsid w:val="08657D7A"/>
    <w:rsid w:val="08674142"/>
    <w:rsid w:val="0869448C"/>
    <w:rsid w:val="086A5D11"/>
    <w:rsid w:val="086D6BA7"/>
    <w:rsid w:val="086E33D5"/>
    <w:rsid w:val="086E3851"/>
    <w:rsid w:val="086E43E4"/>
    <w:rsid w:val="08704CBF"/>
    <w:rsid w:val="08705134"/>
    <w:rsid w:val="0870774C"/>
    <w:rsid w:val="08725E95"/>
    <w:rsid w:val="0873796D"/>
    <w:rsid w:val="0876600C"/>
    <w:rsid w:val="087924EA"/>
    <w:rsid w:val="087C48F8"/>
    <w:rsid w:val="087D7702"/>
    <w:rsid w:val="087F106F"/>
    <w:rsid w:val="08803584"/>
    <w:rsid w:val="088069ED"/>
    <w:rsid w:val="08812254"/>
    <w:rsid w:val="08813341"/>
    <w:rsid w:val="08815F75"/>
    <w:rsid w:val="08823CF3"/>
    <w:rsid w:val="08837CE8"/>
    <w:rsid w:val="08854C41"/>
    <w:rsid w:val="08857771"/>
    <w:rsid w:val="08864283"/>
    <w:rsid w:val="088766C0"/>
    <w:rsid w:val="08891628"/>
    <w:rsid w:val="088B4B31"/>
    <w:rsid w:val="088D41B3"/>
    <w:rsid w:val="088E78F5"/>
    <w:rsid w:val="0891507C"/>
    <w:rsid w:val="089B1773"/>
    <w:rsid w:val="089E13D0"/>
    <w:rsid w:val="089F1DD2"/>
    <w:rsid w:val="08A64CA7"/>
    <w:rsid w:val="08AA2A59"/>
    <w:rsid w:val="08AC25CB"/>
    <w:rsid w:val="08AF2E81"/>
    <w:rsid w:val="08B111EB"/>
    <w:rsid w:val="08B33959"/>
    <w:rsid w:val="08B35707"/>
    <w:rsid w:val="08B507A5"/>
    <w:rsid w:val="08B74F74"/>
    <w:rsid w:val="08B77553"/>
    <w:rsid w:val="08B84ACC"/>
    <w:rsid w:val="08BA6C94"/>
    <w:rsid w:val="08BC23D8"/>
    <w:rsid w:val="08BC6833"/>
    <w:rsid w:val="08BD5A16"/>
    <w:rsid w:val="08C951F3"/>
    <w:rsid w:val="08CE42EF"/>
    <w:rsid w:val="08D613F6"/>
    <w:rsid w:val="08D86F1C"/>
    <w:rsid w:val="08D90C6C"/>
    <w:rsid w:val="08D94888"/>
    <w:rsid w:val="08DA7138"/>
    <w:rsid w:val="08DB2D17"/>
    <w:rsid w:val="08DB5099"/>
    <w:rsid w:val="08DF474E"/>
    <w:rsid w:val="08E02B28"/>
    <w:rsid w:val="08E15678"/>
    <w:rsid w:val="08E4362E"/>
    <w:rsid w:val="08E57A87"/>
    <w:rsid w:val="08E65ADD"/>
    <w:rsid w:val="08E6788B"/>
    <w:rsid w:val="08E76053"/>
    <w:rsid w:val="08E9080F"/>
    <w:rsid w:val="08E92DF5"/>
    <w:rsid w:val="08EA5A76"/>
    <w:rsid w:val="08EC29C7"/>
    <w:rsid w:val="08ED5117"/>
    <w:rsid w:val="08EE04EE"/>
    <w:rsid w:val="08F326DF"/>
    <w:rsid w:val="08F45795"/>
    <w:rsid w:val="08F45AA0"/>
    <w:rsid w:val="08F519F7"/>
    <w:rsid w:val="08F51E41"/>
    <w:rsid w:val="08F71A98"/>
    <w:rsid w:val="08FA2FB3"/>
    <w:rsid w:val="08FD3903"/>
    <w:rsid w:val="08FF094D"/>
    <w:rsid w:val="08FF10CD"/>
    <w:rsid w:val="090123E3"/>
    <w:rsid w:val="0903582B"/>
    <w:rsid w:val="09055B02"/>
    <w:rsid w:val="09077472"/>
    <w:rsid w:val="090931C4"/>
    <w:rsid w:val="090A1F5F"/>
    <w:rsid w:val="09131E60"/>
    <w:rsid w:val="091361A6"/>
    <w:rsid w:val="0914708F"/>
    <w:rsid w:val="09151F1E"/>
    <w:rsid w:val="09155052"/>
    <w:rsid w:val="091D784A"/>
    <w:rsid w:val="092108C3"/>
    <w:rsid w:val="092217DD"/>
    <w:rsid w:val="0925299D"/>
    <w:rsid w:val="09276C3D"/>
    <w:rsid w:val="092A6EDD"/>
    <w:rsid w:val="092D370C"/>
    <w:rsid w:val="09302C28"/>
    <w:rsid w:val="09304FAA"/>
    <w:rsid w:val="093210B4"/>
    <w:rsid w:val="09325201"/>
    <w:rsid w:val="093305F6"/>
    <w:rsid w:val="09334BD8"/>
    <w:rsid w:val="093566C4"/>
    <w:rsid w:val="09391A6E"/>
    <w:rsid w:val="09394891"/>
    <w:rsid w:val="093A7294"/>
    <w:rsid w:val="093B644F"/>
    <w:rsid w:val="093D20B4"/>
    <w:rsid w:val="0946032A"/>
    <w:rsid w:val="094822F4"/>
    <w:rsid w:val="094840A2"/>
    <w:rsid w:val="094C3466"/>
    <w:rsid w:val="094E3039"/>
    <w:rsid w:val="094E5093"/>
    <w:rsid w:val="094E5207"/>
    <w:rsid w:val="094F03F8"/>
    <w:rsid w:val="095526DB"/>
    <w:rsid w:val="09573DFC"/>
    <w:rsid w:val="0959521C"/>
    <w:rsid w:val="095A1021"/>
    <w:rsid w:val="095B1EEC"/>
    <w:rsid w:val="095B2106"/>
    <w:rsid w:val="095C18FB"/>
    <w:rsid w:val="0960626F"/>
    <w:rsid w:val="09616F12"/>
    <w:rsid w:val="09617FB9"/>
    <w:rsid w:val="096471F4"/>
    <w:rsid w:val="096500AA"/>
    <w:rsid w:val="096505C6"/>
    <w:rsid w:val="096B5FE2"/>
    <w:rsid w:val="096C093F"/>
    <w:rsid w:val="096E162E"/>
    <w:rsid w:val="096E7880"/>
    <w:rsid w:val="09742D90"/>
    <w:rsid w:val="097525CD"/>
    <w:rsid w:val="09772BD9"/>
    <w:rsid w:val="09784A77"/>
    <w:rsid w:val="097A4DBA"/>
    <w:rsid w:val="097C446B"/>
    <w:rsid w:val="097D197C"/>
    <w:rsid w:val="097E7C74"/>
    <w:rsid w:val="0980684A"/>
    <w:rsid w:val="098175B4"/>
    <w:rsid w:val="09831C3F"/>
    <w:rsid w:val="09850911"/>
    <w:rsid w:val="09855EF7"/>
    <w:rsid w:val="09864BCA"/>
    <w:rsid w:val="09867169"/>
    <w:rsid w:val="098A6F6E"/>
    <w:rsid w:val="098C579B"/>
    <w:rsid w:val="098C610F"/>
    <w:rsid w:val="099556FC"/>
    <w:rsid w:val="09957CE7"/>
    <w:rsid w:val="0998469B"/>
    <w:rsid w:val="099A0675"/>
    <w:rsid w:val="099D0AE2"/>
    <w:rsid w:val="099D6B31"/>
    <w:rsid w:val="09A31DD2"/>
    <w:rsid w:val="09A43793"/>
    <w:rsid w:val="09A56CAF"/>
    <w:rsid w:val="09A62A72"/>
    <w:rsid w:val="09A635BC"/>
    <w:rsid w:val="09A7294B"/>
    <w:rsid w:val="09A908B8"/>
    <w:rsid w:val="09AB2293"/>
    <w:rsid w:val="09AE2FE9"/>
    <w:rsid w:val="09AF4121"/>
    <w:rsid w:val="09B01C47"/>
    <w:rsid w:val="09B07E99"/>
    <w:rsid w:val="09B23517"/>
    <w:rsid w:val="09B23C11"/>
    <w:rsid w:val="09B63701"/>
    <w:rsid w:val="09B90AFC"/>
    <w:rsid w:val="09BC4A90"/>
    <w:rsid w:val="09BE2640"/>
    <w:rsid w:val="09BE6112"/>
    <w:rsid w:val="09BF1BA4"/>
    <w:rsid w:val="09C0632E"/>
    <w:rsid w:val="09C120F0"/>
    <w:rsid w:val="09C63218"/>
    <w:rsid w:val="09C7525E"/>
    <w:rsid w:val="09CA48F4"/>
    <w:rsid w:val="09CE7DED"/>
    <w:rsid w:val="09D20A7D"/>
    <w:rsid w:val="09D459EE"/>
    <w:rsid w:val="09D5345C"/>
    <w:rsid w:val="09D62156"/>
    <w:rsid w:val="09D63E25"/>
    <w:rsid w:val="09D678FF"/>
    <w:rsid w:val="09D90534"/>
    <w:rsid w:val="09DA5DFC"/>
    <w:rsid w:val="09DC5524"/>
    <w:rsid w:val="09DD3CB7"/>
    <w:rsid w:val="09DD5ED3"/>
    <w:rsid w:val="09DF7932"/>
    <w:rsid w:val="09E04413"/>
    <w:rsid w:val="09E045DE"/>
    <w:rsid w:val="09E10052"/>
    <w:rsid w:val="09E27460"/>
    <w:rsid w:val="09E30015"/>
    <w:rsid w:val="09E538F8"/>
    <w:rsid w:val="09E61B19"/>
    <w:rsid w:val="09E813E1"/>
    <w:rsid w:val="09EB1836"/>
    <w:rsid w:val="09EB72A8"/>
    <w:rsid w:val="09EC73E3"/>
    <w:rsid w:val="09EF4BAD"/>
    <w:rsid w:val="09F00295"/>
    <w:rsid w:val="09F15A65"/>
    <w:rsid w:val="09F22188"/>
    <w:rsid w:val="09F2400E"/>
    <w:rsid w:val="09F63181"/>
    <w:rsid w:val="09FA3AAF"/>
    <w:rsid w:val="0A0566F5"/>
    <w:rsid w:val="0A0801C9"/>
    <w:rsid w:val="0A0A1357"/>
    <w:rsid w:val="0A0D3F51"/>
    <w:rsid w:val="0A171CC6"/>
    <w:rsid w:val="0A1846D3"/>
    <w:rsid w:val="0A1C72DC"/>
    <w:rsid w:val="0A1D475A"/>
    <w:rsid w:val="0A1E28E6"/>
    <w:rsid w:val="0A206DCD"/>
    <w:rsid w:val="0A2211D7"/>
    <w:rsid w:val="0A263993"/>
    <w:rsid w:val="0A266EDA"/>
    <w:rsid w:val="0A27427D"/>
    <w:rsid w:val="0A2763AD"/>
    <w:rsid w:val="0A283998"/>
    <w:rsid w:val="0A2A37A7"/>
    <w:rsid w:val="0A2B0484"/>
    <w:rsid w:val="0A2D3AC2"/>
    <w:rsid w:val="0A306A87"/>
    <w:rsid w:val="0A320DD3"/>
    <w:rsid w:val="0A322831"/>
    <w:rsid w:val="0A391C3C"/>
    <w:rsid w:val="0A3A0979"/>
    <w:rsid w:val="0A3A36E4"/>
    <w:rsid w:val="0A3A73E3"/>
    <w:rsid w:val="0A3E1B7E"/>
    <w:rsid w:val="0A3E6B06"/>
    <w:rsid w:val="0A41782C"/>
    <w:rsid w:val="0A487E51"/>
    <w:rsid w:val="0A4A3E4A"/>
    <w:rsid w:val="0A4D144F"/>
    <w:rsid w:val="0A4D406F"/>
    <w:rsid w:val="0A4D56E8"/>
    <w:rsid w:val="0A4E059D"/>
    <w:rsid w:val="0A4E0C12"/>
    <w:rsid w:val="0A523C5B"/>
    <w:rsid w:val="0A56459C"/>
    <w:rsid w:val="0A5A2162"/>
    <w:rsid w:val="0A5A3C55"/>
    <w:rsid w:val="0A5B6057"/>
    <w:rsid w:val="0A5B7E05"/>
    <w:rsid w:val="0A5D3906"/>
    <w:rsid w:val="0A5E16A3"/>
    <w:rsid w:val="0A5F17A1"/>
    <w:rsid w:val="0A622F41"/>
    <w:rsid w:val="0A63216D"/>
    <w:rsid w:val="0A635CD8"/>
    <w:rsid w:val="0A636CB9"/>
    <w:rsid w:val="0A6405B9"/>
    <w:rsid w:val="0A64315D"/>
    <w:rsid w:val="0A644261"/>
    <w:rsid w:val="0A6A200C"/>
    <w:rsid w:val="0A6F1B02"/>
    <w:rsid w:val="0A6F4109"/>
    <w:rsid w:val="0A726EFC"/>
    <w:rsid w:val="0A740585"/>
    <w:rsid w:val="0A795CF3"/>
    <w:rsid w:val="0A7A648B"/>
    <w:rsid w:val="0A7B04A7"/>
    <w:rsid w:val="0A7D5FCD"/>
    <w:rsid w:val="0A7E1424"/>
    <w:rsid w:val="0A7E7C23"/>
    <w:rsid w:val="0A7F6180"/>
    <w:rsid w:val="0A80192D"/>
    <w:rsid w:val="0A82405D"/>
    <w:rsid w:val="0A82770C"/>
    <w:rsid w:val="0A833C70"/>
    <w:rsid w:val="0A844A57"/>
    <w:rsid w:val="0A8547B6"/>
    <w:rsid w:val="0A871E47"/>
    <w:rsid w:val="0A8729A8"/>
    <w:rsid w:val="0A886720"/>
    <w:rsid w:val="0A8A105F"/>
    <w:rsid w:val="0A8A3813"/>
    <w:rsid w:val="0A8B07CE"/>
    <w:rsid w:val="0A8F226A"/>
    <w:rsid w:val="0A8F3B91"/>
    <w:rsid w:val="0A9077BD"/>
    <w:rsid w:val="0A915607"/>
    <w:rsid w:val="0A96708F"/>
    <w:rsid w:val="0A980775"/>
    <w:rsid w:val="0A982E07"/>
    <w:rsid w:val="0A98343C"/>
    <w:rsid w:val="0A9A3FFA"/>
    <w:rsid w:val="0A9A4A2C"/>
    <w:rsid w:val="0A9A5149"/>
    <w:rsid w:val="0AA01CBB"/>
    <w:rsid w:val="0AA277E2"/>
    <w:rsid w:val="0AA32EFB"/>
    <w:rsid w:val="0AA464FC"/>
    <w:rsid w:val="0AA7304A"/>
    <w:rsid w:val="0AA74DF8"/>
    <w:rsid w:val="0AA755DF"/>
    <w:rsid w:val="0AA814A7"/>
    <w:rsid w:val="0AAD448A"/>
    <w:rsid w:val="0AAF5150"/>
    <w:rsid w:val="0AB47432"/>
    <w:rsid w:val="0AB96E65"/>
    <w:rsid w:val="0ABB4D47"/>
    <w:rsid w:val="0ABC77C7"/>
    <w:rsid w:val="0ABD45E4"/>
    <w:rsid w:val="0ABE2142"/>
    <w:rsid w:val="0ABE63CB"/>
    <w:rsid w:val="0ABF4962"/>
    <w:rsid w:val="0AC0410C"/>
    <w:rsid w:val="0AC054A3"/>
    <w:rsid w:val="0AC339A0"/>
    <w:rsid w:val="0AC33FAA"/>
    <w:rsid w:val="0AC51722"/>
    <w:rsid w:val="0AC51A33"/>
    <w:rsid w:val="0AC64A3D"/>
    <w:rsid w:val="0AC736EC"/>
    <w:rsid w:val="0ACB2B68"/>
    <w:rsid w:val="0ACC56B9"/>
    <w:rsid w:val="0ACD6FE0"/>
    <w:rsid w:val="0AD100C7"/>
    <w:rsid w:val="0AD43A02"/>
    <w:rsid w:val="0AD43E4B"/>
    <w:rsid w:val="0AD66E92"/>
    <w:rsid w:val="0AD8733B"/>
    <w:rsid w:val="0ADA7F03"/>
    <w:rsid w:val="0ADB364F"/>
    <w:rsid w:val="0ADB6107"/>
    <w:rsid w:val="0ADC2C68"/>
    <w:rsid w:val="0ADD23B0"/>
    <w:rsid w:val="0ADD5B58"/>
    <w:rsid w:val="0ADF6281"/>
    <w:rsid w:val="0AE0030A"/>
    <w:rsid w:val="0AE347DC"/>
    <w:rsid w:val="0AE51B7C"/>
    <w:rsid w:val="0AE620BB"/>
    <w:rsid w:val="0AE96411"/>
    <w:rsid w:val="0AEF54D2"/>
    <w:rsid w:val="0AF02B53"/>
    <w:rsid w:val="0AF1298E"/>
    <w:rsid w:val="0AF40921"/>
    <w:rsid w:val="0AF55D55"/>
    <w:rsid w:val="0AF64A2E"/>
    <w:rsid w:val="0AF73FD1"/>
    <w:rsid w:val="0AF8672C"/>
    <w:rsid w:val="0AF9268C"/>
    <w:rsid w:val="0AFA6A78"/>
    <w:rsid w:val="0AFB3396"/>
    <w:rsid w:val="0AFB341A"/>
    <w:rsid w:val="0AFE79D6"/>
    <w:rsid w:val="0AFF13F2"/>
    <w:rsid w:val="0AFF2E86"/>
    <w:rsid w:val="0B002861"/>
    <w:rsid w:val="0B04049C"/>
    <w:rsid w:val="0B040E20"/>
    <w:rsid w:val="0B0D6165"/>
    <w:rsid w:val="0B0E30C9"/>
    <w:rsid w:val="0B0F42F2"/>
    <w:rsid w:val="0B114967"/>
    <w:rsid w:val="0B120D44"/>
    <w:rsid w:val="0B1913CC"/>
    <w:rsid w:val="0B21104E"/>
    <w:rsid w:val="0B256896"/>
    <w:rsid w:val="0B294C45"/>
    <w:rsid w:val="0B2B2B3C"/>
    <w:rsid w:val="0B2D2B74"/>
    <w:rsid w:val="0B2F3631"/>
    <w:rsid w:val="0B301291"/>
    <w:rsid w:val="0B310B66"/>
    <w:rsid w:val="0B330D82"/>
    <w:rsid w:val="0B340C6B"/>
    <w:rsid w:val="0B35618D"/>
    <w:rsid w:val="0B362AE0"/>
    <w:rsid w:val="0B37185A"/>
    <w:rsid w:val="0B3733A8"/>
    <w:rsid w:val="0B386398"/>
    <w:rsid w:val="0B3A0D5F"/>
    <w:rsid w:val="0B3F3282"/>
    <w:rsid w:val="0B3F3E5F"/>
    <w:rsid w:val="0B420FC5"/>
    <w:rsid w:val="0B427A78"/>
    <w:rsid w:val="0B453262"/>
    <w:rsid w:val="0B4B0716"/>
    <w:rsid w:val="0B4F5493"/>
    <w:rsid w:val="0B504E6B"/>
    <w:rsid w:val="0B5079E3"/>
    <w:rsid w:val="0B5128A3"/>
    <w:rsid w:val="0B513CCF"/>
    <w:rsid w:val="0B522BA1"/>
    <w:rsid w:val="0B544F07"/>
    <w:rsid w:val="0B565401"/>
    <w:rsid w:val="0B570933"/>
    <w:rsid w:val="0B577851"/>
    <w:rsid w:val="0B581670"/>
    <w:rsid w:val="0B5A630E"/>
    <w:rsid w:val="0B5D17C7"/>
    <w:rsid w:val="0B600640"/>
    <w:rsid w:val="0B6220A6"/>
    <w:rsid w:val="0B6337BE"/>
    <w:rsid w:val="0B694717"/>
    <w:rsid w:val="0B6A3567"/>
    <w:rsid w:val="0B6E4DD8"/>
    <w:rsid w:val="0B6E5AC7"/>
    <w:rsid w:val="0B705B32"/>
    <w:rsid w:val="0B770F26"/>
    <w:rsid w:val="0B786794"/>
    <w:rsid w:val="0B7C6285"/>
    <w:rsid w:val="0B7D0F0E"/>
    <w:rsid w:val="0B7E08F2"/>
    <w:rsid w:val="0B8127C6"/>
    <w:rsid w:val="0B816247"/>
    <w:rsid w:val="0B8267A3"/>
    <w:rsid w:val="0B835865"/>
    <w:rsid w:val="0B8866E0"/>
    <w:rsid w:val="0B8D66E4"/>
    <w:rsid w:val="0B8E7D02"/>
    <w:rsid w:val="0B955598"/>
    <w:rsid w:val="0B961553"/>
    <w:rsid w:val="0B963927"/>
    <w:rsid w:val="0B974E6D"/>
    <w:rsid w:val="0B9C112B"/>
    <w:rsid w:val="0B9C7387"/>
    <w:rsid w:val="0B9D5E12"/>
    <w:rsid w:val="0B9E2336"/>
    <w:rsid w:val="0B9F6417"/>
    <w:rsid w:val="0B9F75D5"/>
    <w:rsid w:val="0BA36F45"/>
    <w:rsid w:val="0BA450FB"/>
    <w:rsid w:val="0BA64A54"/>
    <w:rsid w:val="0BAA7D87"/>
    <w:rsid w:val="0BAB0918"/>
    <w:rsid w:val="0BAE30A2"/>
    <w:rsid w:val="0BB24E85"/>
    <w:rsid w:val="0BB253C8"/>
    <w:rsid w:val="0BB30E91"/>
    <w:rsid w:val="0BB62A9E"/>
    <w:rsid w:val="0BB958FC"/>
    <w:rsid w:val="0BBC023E"/>
    <w:rsid w:val="0BBD7CD1"/>
    <w:rsid w:val="0BBF7DD3"/>
    <w:rsid w:val="0BC00416"/>
    <w:rsid w:val="0BC05E07"/>
    <w:rsid w:val="0BC4130B"/>
    <w:rsid w:val="0BC47C2C"/>
    <w:rsid w:val="0BC67500"/>
    <w:rsid w:val="0BC81CE0"/>
    <w:rsid w:val="0BCD4D32"/>
    <w:rsid w:val="0BD062B3"/>
    <w:rsid w:val="0BD22349"/>
    <w:rsid w:val="0BD27BF6"/>
    <w:rsid w:val="0BD3073C"/>
    <w:rsid w:val="0BD60D97"/>
    <w:rsid w:val="0BD961C1"/>
    <w:rsid w:val="0BDB1D82"/>
    <w:rsid w:val="0BDC0B99"/>
    <w:rsid w:val="0BDD6085"/>
    <w:rsid w:val="0BE01940"/>
    <w:rsid w:val="0BE15F86"/>
    <w:rsid w:val="0BE55FD0"/>
    <w:rsid w:val="0BE6388F"/>
    <w:rsid w:val="0BE67A54"/>
    <w:rsid w:val="0BE75837"/>
    <w:rsid w:val="0BE76017"/>
    <w:rsid w:val="0BEA23F9"/>
    <w:rsid w:val="0BEA27B8"/>
    <w:rsid w:val="0BEF11E0"/>
    <w:rsid w:val="0BF52C80"/>
    <w:rsid w:val="0BF5318D"/>
    <w:rsid w:val="0C0038C2"/>
    <w:rsid w:val="0C006EB6"/>
    <w:rsid w:val="0C020668"/>
    <w:rsid w:val="0C02235B"/>
    <w:rsid w:val="0C046043"/>
    <w:rsid w:val="0C073A0E"/>
    <w:rsid w:val="0C074E96"/>
    <w:rsid w:val="0C087B18"/>
    <w:rsid w:val="0C0B13B7"/>
    <w:rsid w:val="0C0B7FFC"/>
    <w:rsid w:val="0C0E31B1"/>
    <w:rsid w:val="0C123DF2"/>
    <w:rsid w:val="0C142277"/>
    <w:rsid w:val="0C1449A1"/>
    <w:rsid w:val="0C1464BD"/>
    <w:rsid w:val="0C152235"/>
    <w:rsid w:val="0C157F39"/>
    <w:rsid w:val="0C1734E1"/>
    <w:rsid w:val="0C186A33"/>
    <w:rsid w:val="0C1946F3"/>
    <w:rsid w:val="0C1E1AAF"/>
    <w:rsid w:val="0C1E1B49"/>
    <w:rsid w:val="0C1F1691"/>
    <w:rsid w:val="0C222D1B"/>
    <w:rsid w:val="0C230DF6"/>
    <w:rsid w:val="0C27367A"/>
    <w:rsid w:val="0C283A2F"/>
    <w:rsid w:val="0C284963"/>
    <w:rsid w:val="0C2A5657"/>
    <w:rsid w:val="0C2D2614"/>
    <w:rsid w:val="0C2F108D"/>
    <w:rsid w:val="0C2F1549"/>
    <w:rsid w:val="0C304B29"/>
    <w:rsid w:val="0C316FB5"/>
    <w:rsid w:val="0C357173"/>
    <w:rsid w:val="0C396C91"/>
    <w:rsid w:val="0C39706C"/>
    <w:rsid w:val="0C3B35F4"/>
    <w:rsid w:val="0C3B3C7D"/>
    <w:rsid w:val="0C3C3C66"/>
    <w:rsid w:val="0C3D6B4B"/>
    <w:rsid w:val="0C3F1BF3"/>
    <w:rsid w:val="0C3F5522"/>
    <w:rsid w:val="0C41127C"/>
    <w:rsid w:val="0C424338"/>
    <w:rsid w:val="0C434FF4"/>
    <w:rsid w:val="0C4D0A81"/>
    <w:rsid w:val="0C4D7A70"/>
    <w:rsid w:val="0C4E7AB7"/>
    <w:rsid w:val="0C4F20E3"/>
    <w:rsid w:val="0C520C35"/>
    <w:rsid w:val="0C535225"/>
    <w:rsid w:val="0C550884"/>
    <w:rsid w:val="0C5509F9"/>
    <w:rsid w:val="0C572706"/>
    <w:rsid w:val="0C577AA9"/>
    <w:rsid w:val="0C580D5D"/>
    <w:rsid w:val="0C5A022C"/>
    <w:rsid w:val="0C5B3564"/>
    <w:rsid w:val="0C5F2B16"/>
    <w:rsid w:val="0C5F4956"/>
    <w:rsid w:val="0C622E89"/>
    <w:rsid w:val="0C626BE3"/>
    <w:rsid w:val="0C630FB9"/>
    <w:rsid w:val="0C642F21"/>
    <w:rsid w:val="0C66480D"/>
    <w:rsid w:val="0C686809"/>
    <w:rsid w:val="0C6A2581"/>
    <w:rsid w:val="0C6B30F4"/>
    <w:rsid w:val="0C6D07B6"/>
    <w:rsid w:val="0C6D3B39"/>
    <w:rsid w:val="0C6E2EDD"/>
    <w:rsid w:val="0C6F5DE9"/>
    <w:rsid w:val="0C701305"/>
    <w:rsid w:val="0C711989"/>
    <w:rsid w:val="0C7156BE"/>
    <w:rsid w:val="0C721436"/>
    <w:rsid w:val="0C744BFA"/>
    <w:rsid w:val="0C7671F8"/>
    <w:rsid w:val="0C770FC2"/>
    <w:rsid w:val="0C79515B"/>
    <w:rsid w:val="0C795930"/>
    <w:rsid w:val="0C7F7DD0"/>
    <w:rsid w:val="0C821421"/>
    <w:rsid w:val="0C8353F1"/>
    <w:rsid w:val="0C8A1ABA"/>
    <w:rsid w:val="0C8B0141"/>
    <w:rsid w:val="0C8C24F7"/>
    <w:rsid w:val="0C8E60EF"/>
    <w:rsid w:val="0C9141C7"/>
    <w:rsid w:val="0C9560E9"/>
    <w:rsid w:val="0C965FE6"/>
    <w:rsid w:val="0C986325"/>
    <w:rsid w:val="0C9A2DFD"/>
    <w:rsid w:val="0C9A4360"/>
    <w:rsid w:val="0C9D4705"/>
    <w:rsid w:val="0C9E1157"/>
    <w:rsid w:val="0CA20CEC"/>
    <w:rsid w:val="0CA5180B"/>
    <w:rsid w:val="0CA67BC5"/>
    <w:rsid w:val="0CA77F6B"/>
    <w:rsid w:val="0CA90A39"/>
    <w:rsid w:val="0CAA3030"/>
    <w:rsid w:val="0CAA5073"/>
    <w:rsid w:val="0CAB1741"/>
    <w:rsid w:val="0CAB2EAE"/>
    <w:rsid w:val="0CB2764F"/>
    <w:rsid w:val="0CB50D2F"/>
    <w:rsid w:val="0CB63321"/>
    <w:rsid w:val="0CB87790"/>
    <w:rsid w:val="0CB952B6"/>
    <w:rsid w:val="0CBB2740"/>
    <w:rsid w:val="0CBB2D37"/>
    <w:rsid w:val="0CBD0903"/>
    <w:rsid w:val="0CBD636A"/>
    <w:rsid w:val="0CBE296B"/>
    <w:rsid w:val="0CC31C91"/>
    <w:rsid w:val="0CC7332F"/>
    <w:rsid w:val="0CC8748F"/>
    <w:rsid w:val="0CC955BE"/>
    <w:rsid w:val="0CCC59C8"/>
    <w:rsid w:val="0CCD48BE"/>
    <w:rsid w:val="0CCF0636"/>
    <w:rsid w:val="0CCF6888"/>
    <w:rsid w:val="0CD520F0"/>
    <w:rsid w:val="0CD7053E"/>
    <w:rsid w:val="0CD8398F"/>
    <w:rsid w:val="0CDA19D5"/>
    <w:rsid w:val="0CDA1E65"/>
    <w:rsid w:val="0CDA7707"/>
    <w:rsid w:val="0CDC5E57"/>
    <w:rsid w:val="0CE127D9"/>
    <w:rsid w:val="0CE26C0C"/>
    <w:rsid w:val="0CE73BD2"/>
    <w:rsid w:val="0CE95B9C"/>
    <w:rsid w:val="0CED28B2"/>
    <w:rsid w:val="0CEE26B3"/>
    <w:rsid w:val="0CEF2A86"/>
    <w:rsid w:val="0CF033BD"/>
    <w:rsid w:val="0CF20C86"/>
    <w:rsid w:val="0CF5638A"/>
    <w:rsid w:val="0CF602B9"/>
    <w:rsid w:val="0CF67B43"/>
    <w:rsid w:val="0CFA2A7D"/>
    <w:rsid w:val="0CFD13D3"/>
    <w:rsid w:val="0CFD1647"/>
    <w:rsid w:val="0CFE6D7E"/>
    <w:rsid w:val="0D0453CD"/>
    <w:rsid w:val="0D0B7E0F"/>
    <w:rsid w:val="0D0C3638"/>
    <w:rsid w:val="0D116EA1"/>
    <w:rsid w:val="0D136775"/>
    <w:rsid w:val="0D151A88"/>
    <w:rsid w:val="0D153941"/>
    <w:rsid w:val="0D16137A"/>
    <w:rsid w:val="0D184421"/>
    <w:rsid w:val="0D1D75F3"/>
    <w:rsid w:val="0D2210AE"/>
    <w:rsid w:val="0D240050"/>
    <w:rsid w:val="0D26412B"/>
    <w:rsid w:val="0D277D48"/>
    <w:rsid w:val="0D297018"/>
    <w:rsid w:val="0D2975D1"/>
    <w:rsid w:val="0D2B1319"/>
    <w:rsid w:val="0D2B7F62"/>
    <w:rsid w:val="0D2C6206"/>
    <w:rsid w:val="0D302230"/>
    <w:rsid w:val="0D303E9E"/>
    <w:rsid w:val="0D311BAA"/>
    <w:rsid w:val="0D3473EC"/>
    <w:rsid w:val="0D35217D"/>
    <w:rsid w:val="0D354314"/>
    <w:rsid w:val="0D355194"/>
    <w:rsid w:val="0D366907"/>
    <w:rsid w:val="0D37437A"/>
    <w:rsid w:val="0D3A2768"/>
    <w:rsid w:val="0D414CDA"/>
    <w:rsid w:val="0D4827EB"/>
    <w:rsid w:val="0D4A27BE"/>
    <w:rsid w:val="0D4D7668"/>
    <w:rsid w:val="0D501777"/>
    <w:rsid w:val="0D505C1B"/>
    <w:rsid w:val="0D536036"/>
    <w:rsid w:val="0D553231"/>
    <w:rsid w:val="0D576DA5"/>
    <w:rsid w:val="0D58062B"/>
    <w:rsid w:val="0D593751"/>
    <w:rsid w:val="0D5A00A2"/>
    <w:rsid w:val="0D5A4B62"/>
    <w:rsid w:val="0D5B33BB"/>
    <w:rsid w:val="0D5C07E9"/>
    <w:rsid w:val="0D5C45C0"/>
    <w:rsid w:val="0D5D466A"/>
    <w:rsid w:val="0D5D5C42"/>
    <w:rsid w:val="0D607B4A"/>
    <w:rsid w:val="0D621C7D"/>
    <w:rsid w:val="0D6411BC"/>
    <w:rsid w:val="0D671FFD"/>
    <w:rsid w:val="0D673393"/>
    <w:rsid w:val="0D6A73F8"/>
    <w:rsid w:val="0D6B69E0"/>
    <w:rsid w:val="0D6D38CF"/>
    <w:rsid w:val="0D714D02"/>
    <w:rsid w:val="0D7205B2"/>
    <w:rsid w:val="0D735559"/>
    <w:rsid w:val="0D741854"/>
    <w:rsid w:val="0D780511"/>
    <w:rsid w:val="0D780CCE"/>
    <w:rsid w:val="0D782A7C"/>
    <w:rsid w:val="0D786F20"/>
    <w:rsid w:val="0D7B050D"/>
    <w:rsid w:val="0D7D4536"/>
    <w:rsid w:val="0D7E4D9D"/>
    <w:rsid w:val="0D7F205C"/>
    <w:rsid w:val="0D846D49"/>
    <w:rsid w:val="0D865199"/>
    <w:rsid w:val="0D880645"/>
    <w:rsid w:val="0D892AEC"/>
    <w:rsid w:val="0D8B113F"/>
    <w:rsid w:val="0D8F7523"/>
    <w:rsid w:val="0D906017"/>
    <w:rsid w:val="0D921D8F"/>
    <w:rsid w:val="0D931C1C"/>
    <w:rsid w:val="0D933D59"/>
    <w:rsid w:val="0D9378B6"/>
    <w:rsid w:val="0D9544CD"/>
    <w:rsid w:val="0D995AD5"/>
    <w:rsid w:val="0D9B50DD"/>
    <w:rsid w:val="0D9C686D"/>
    <w:rsid w:val="0DA03BB0"/>
    <w:rsid w:val="0DA127A3"/>
    <w:rsid w:val="0DA61597"/>
    <w:rsid w:val="0DA63E22"/>
    <w:rsid w:val="0DA82E85"/>
    <w:rsid w:val="0DA92C28"/>
    <w:rsid w:val="0DA9532B"/>
    <w:rsid w:val="0DA970D9"/>
    <w:rsid w:val="0DAA2F47"/>
    <w:rsid w:val="0DAB146B"/>
    <w:rsid w:val="0DB37B60"/>
    <w:rsid w:val="0DB41AB6"/>
    <w:rsid w:val="0DB55A10"/>
    <w:rsid w:val="0DB60ADD"/>
    <w:rsid w:val="0DB75B33"/>
    <w:rsid w:val="0DB94861"/>
    <w:rsid w:val="0DBD6776"/>
    <w:rsid w:val="0DBD7D9A"/>
    <w:rsid w:val="0DBE7E68"/>
    <w:rsid w:val="0DBF06AB"/>
    <w:rsid w:val="0DBF4B4E"/>
    <w:rsid w:val="0DC028E3"/>
    <w:rsid w:val="0DC108C7"/>
    <w:rsid w:val="0DC21F49"/>
    <w:rsid w:val="0DC53D28"/>
    <w:rsid w:val="0DC9777B"/>
    <w:rsid w:val="0DCA71FA"/>
    <w:rsid w:val="0DCB44C2"/>
    <w:rsid w:val="0DCE155F"/>
    <w:rsid w:val="0DCF4D92"/>
    <w:rsid w:val="0DD27D19"/>
    <w:rsid w:val="0DD405FA"/>
    <w:rsid w:val="0DD51C7C"/>
    <w:rsid w:val="0DD80877"/>
    <w:rsid w:val="0DDC74AE"/>
    <w:rsid w:val="0DDD6D83"/>
    <w:rsid w:val="0DDE11F1"/>
    <w:rsid w:val="0DE14AC5"/>
    <w:rsid w:val="0DE46363"/>
    <w:rsid w:val="0DE801B5"/>
    <w:rsid w:val="0DE86A3A"/>
    <w:rsid w:val="0DEA49FF"/>
    <w:rsid w:val="0DEB18BD"/>
    <w:rsid w:val="0DED415E"/>
    <w:rsid w:val="0DED695B"/>
    <w:rsid w:val="0DF04D08"/>
    <w:rsid w:val="0DF26CD2"/>
    <w:rsid w:val="0DF4727E"/>
    <w:rsid w:val="0DF57F46"/>
    <w:rsid w:val="0DF91115"/>
    <w:rsid w:val="0DF955F9"/>
    <w:rsid w:val="0DF956C2"/>
    <w:rsid w:val="0DFD3377"/>
    <w:rsid w:val="0DFE2AC2"/>
    <w:rsid w:val="0DFE7425"/>
    <w:rsid w:val="0DFF4117"/>
    <w:rsid w:val="0E0849CA"/>
    <w:rsid w:val="0E095EC8"/>
    <w:rsid w:val="0E0E6DB4"/>
    <w:rsid w:val="0E124C7E"/>
    <w:rsid w:val="0E196E69"/>
    <w:rsid w:val="0E1A3B33"/>
    <w:rsid w:val="0E2003E8"/>
    <w:rsid w:val="0E204DD8"/>
    <w:rsid w:val="0E211365"/>
    <w:rsid w:val="0E236E8B"/>
    <w:rsid w:val="0E242493"/>
    <w:rsid w:val="0E2447F1"/>
    <w:rsid w:val="0E2844A2"/>
    <w:rsid w:val="0E303356"/>
    <w:rsid w:val="0E317FD3"/>
    <w:rsid w:val="0E344BF5"/>
    <w:rsid w:val="0E345C0A"/>
    <w:rsid w:val="0E3600F8"/>
    <w:rsid w:val="0E365692"/>
    <w:rsid w:val="0E372416"/>
    <w:rsid w:val="0E372937"/>
    <w:rsid w:val="0E3A47F0"/>
    <w:rsid w:val="0E3A4A20"/>
    <w:rsid w:val="0E3B5028"/>
    <w:rsid w:val="0E3E475E"/>
    <w:rsid w:val="0E417312"/>
    <w:rsid w:val="0E444273"/>
    <w:rsid w:val="0E4610FD"/>
    <w:rsid w:val="0E4B367B"/>
    <w:rsid w:val="0E4B5EA0"/>
    <w:rsid w:val="0E4C5AFC"/>
    <w:rsid w:val="0E4F5ED2"/>
    <w:rsid w:val="0E503241"/>
    <w:rsid w:val="0E521988"/>
    <w:rsid w:val="0E551FF8"/>
    <w:rsid w:val="0E554B03"/>
    <w:rsid w:val="0E58229D"/>
    <w:rsid w:val="0E5917F3"/>
    <w:rsid w:val="0E5A03D3"/>
    <w:rsid w:val="0E6179B4"/>
    <w:rsid w:val="0E665DCF"/>
    <w:rsid w:val="0E682F17"/>
    <w:rsid w:val="0E6A6868"/>
    <w:rsid w:val="0E6B438E"/>
    <w:rsid w:val="0E6B63F3"/>
    <w:rsid w:val="0E6D0107"/>
    <w:rsid w:val="0E6D2669"/>
    <w:rsid w:val="0E6F1E53"/>
    <w:rsid w:val="0E7074E7"/>
    <w:rsid w:val="0E7250C9"/>
    <w:rsid w:val="0E73034D"/>
    <w:rsid w:val="0E734C2B"/>
    <w:rsid w:val="0E7666AF"/>
    <w:rsid w:val="0E791FE2"/>
    <w:rsid w:val="0E794CFD"/>
    <w:rsid w:val="0E7E44D7"/>
    <w:rsid w:val="0E7F0C9D"/>
    <w:rsid w:val="0E811D9B"/>
    <w:rsid w:val="0E814B47"/>
    <w:rsid w:val="0E821431"/>
    <w:rsid w:val="0E827A95"/>
    <w:rsid w:val="0E835BCE"/>
    <w:rsid w:val="0E8366A7"/>
    <w:rsid w:val="0E85112E"/>
    <w:rsid w:val="0E8536A2"/>
    <w:rsid w:val="0E8538FA"/>
    <w:rsid w:val="0E877FB2"/>
    <w:rsid w:val="0E8A0CB9"/>
    <w:rsid w:val="0E8A2A67"/>
    <w:rsid w:val="0E8A61A9"/>
    <w:rsid w:val="0E8D29A1"/>
    <w:rsid w:val="0E8E238B"/>
    <w:rsid w:val="0E8F20CA"/>
    <w:rsid w:val="0E8F7DE5"/>
    <w:rsid w:val="0E921AE2"/>
    <w:rsid w:val="0E9246B3"/>
    <w:rsid w:val="0E925DBF"/>
    <w:rsid w:val="0E96765D"/>
    <w:rsid w:val="0E9733D5"/>
    <w:rsid w:val="0E986DE4"/>
    <w:rsid w:val="0E9A6FD3"/>
    <w:rsid w:val="0E9D4E90"/>
    <w:rsid w:val="0E9E29B6"/>
    <w:rsid w:val="0E9F7E44"/>
    <w:rsid w:val="0EA0228A"/>
    <w:rsid w:val="0EA16A06"/>
    <w:rsid w:val="0EA265C2"/>
    <w:rsid w:val="0EA33B28"/>
    <w:rsid w:val="0EA93835"/>
    <w:rsid w:val="0EAC7D44"/>
    <w:rsid w:val="0EAF45E2"/>
    <w:rsid w:val="0EB2020F"/>
    <w:rsid w:val="0EB21FBD"/>
    <w:rsid w:val="0EB27ED9"/>
    <w:rsid w:val="0EB31C56"/>
    <w:rsid w:val="0EB5217B"/>
    <w:rsid w:val="0EB53CBE"/>
    <w:rsid w:val="0EB614A8"/>
    <w:rsid w:val="0EB6385C"/>
    <w:rsid w:val="0EB977F0"/>
    <w:rsid w:val="0EBC4F8B"/>
    <w:rsid w:val="0EBE6B6E"/>
    <w:rsid w:val="0EC56195"/>
    <w:rsid w:val="0EC909F5"/>
    <w:rsid w:val="0EC932E4"/>
    <w:rsid w:val="0ECB1C73"/>
    <w:rsid w:val="0ED10695"/>
    <w:rsid w:val="0ED232BB"/>
    <w:rsid w:val="0ED2440E"/>
    <w:rsid w:val="0ED71377"/>
    <w:rsid w:val="0ED949A9"/>
    <w:rsid w:val="0EDB528D"/>
    <w:rsid w:val="0EDD1244"/>
    <w:rsid w:val="0EE05EFB"/>
    <w:rsid w:val="0EE626A3"/>
    <w:rsid w:val="0EE673DA"/>
    <w:rsid w:val="0EE801EC"/>
    <w:rsid w:val="0EE83C31"/>
    <w:rsid w:val="0EEA1757"/>
    <w:rsid w:val="0EEA196D"/>
    <w:rsid w:val="0EEA4A11"/>
    <w:rsid w:val="0EEB41CD"/>
    <w:rsid w:val="0EEC1973"/>
    <w:rsid w:val="0EEC2F4E"/>
    <w:rsid w:val="0EEC47A5"/>
    <w:rsid w:val="0EED23CD"/>
    <w:rsid w:val="0EEE0CD6"/>
    <w:rsid w:val="0EEE15CF"/>
    <w:rsid w:val="0EEF216E"/>
    <w:rsid w:val="0EF31386"/>
    <w:rsid w:val="0EF44384"/>
    <w:rsid w:val="0EF8262B"/>
    <w:rsid w:val="0EFB4F24"/>
    <w:rsid w:val="0EFC7B83"/>
    <w:rsid w:val="0EFD00D8"/>
    <w:rsid w:val="0EFD52CE"/>
    <w:rsid w:val="0EFE5542"/>
    <w:rsid w:val="0EFF1948"/>
    <w:rsid w:val="0F03225F"/>
    <w:rsid w:val="0F037193"/>
    <w:rsid w:val="0F0547E3"/>
    <w:rsid w:val="0F074544"/>
    <w:rsid w:val="0F0C0F39"/>
    <w:rsid w:val="0F13775A"/>
    <w:rsid w:val="0F155B4C"/>
    <w:rsid w:val="0F16079E"/>
    <w:rsid w:val="0F19203C"/>
    <w:rsid w:val="0F212440"/>
    <w:rsid w:val="0F26698C"/>
    <w:rsid w:val="0F2729AB"/>
    <w:rsid w:val="0F282340"/>
    <w:rsid w:val="0F29032F"/>
    <w:rsid w:val="0F2C5CE0"/>
    <w:rsid w:val="0F2F5455"/>
    <w:rsid w:val="0F32048B"/>
    <w:rsid w:val="0F361B58"/>
    <w:rsid w:val="0F387C42"/>
    <w:rsid w:val="0F395CF3"/>
    <w:rsid w:val="0F3B791D"/>
    <w:rsid w:val="0F3D21CF"/>
    <w:rsid w:val="0F3F74AE"/>
    <w:rsid w:val="0F460EB4"/>
    <w:rsid w:val="0F475C83"/>
    <w:rsid w:val="0F476BAA"/>
    <w:rsid w:val="0F4B7876"/>
    <w:rsid w:val="0F5117D6"/>
    <w:rsid w:val="0F53554E"/>
    <w:rsid w:val="0F55017D"/>
    <w:rsid w:val="0F5753C3"/>
    <w:rsid w:val="0F5A5D56"/>
    <w:rsid w:val="0F5B2655"/>
    <w:rsid w:val="0F5C08A7"/>
    <w:rsid w:val="0F5E6B87"/>
    <w:rsid w:val="0F5F2145"/>
    <w:rsid w:val="0F5F45FE"/>
    <w:rsid w:val="0F631F32"/>
    <w:rsid w:val="0F6543A4"/>
    <w:rsid w:val="0F672DA8"/>
    <w:rsid w:val="0F6A3A71"/>
    <w:rsid w:val="0F6A67BF"/>
    <w:rsid w:val="0F6E2388"/>
    <w:rsid w:val="0F6F3BF4"/>
    <w:rsid w:val="0F6F45C4"/>
    <w:rsid w:val="0F700D43"/>
    <w:rsid w:val="0F713290"/>
    <w:rsid w:val="0F7658D5"/>
    <w:rsid w:val="0F791384"/>
    <w:rsid w:val="0F7B08F1"/>
    <w:rsid w:val="0F7C66D2"/>
    <w:rsid w:val="0F7C6E5E"/>
    <w:rsid w:val="0F7D6A6F"/>
    <w:rsid w:val="0F7F0A5F"/>
    <w:rsid w:val="0F7F34DA"/>
    <w:rsid w:val="0F7F4595"/>
    <w:rsid w:val="0F802341"/>
    <w:rsid w:val="0F8120BC"/>
    <w:rsid w:val="0F851480"/>
    <w:rsid w:val="0F870152"/>
    <w:rsid w:val="0F885DD8"/>
    <w:rsid w:val="0F8C42C9"/>
    <w:rsid w:val="0F8E2A2A"/>
    <w:rsid w:val="0F8E7BA6"/>
    <w:rsid w:val="0F955B67"/>
    <w:rsid w:val="0F957915"/>
    <w:rsid w:val="0F965C50"/>
    <w:rsid w:val="0F9718DF"/>
    <w:rsid w:val="0F977626"/>
    <w:rsid w:val="0F9811B3"/>
    <w:rsid w:val="0F987405"/>
    <w:rsid w:val="0F9A112B"/>
    <w:rsid w:val="0F9E7469"/>
    <w:rsid w:val="0F9F0794"/>
    <w:rsid w:val="0FA1450C"/>
    <w:rsid w:val="0FA4224E"/>
    <w:rsid w:val="0FA47B58"/>
    <w:rsid w:val="0FA6113C"/>
    <w:rsid w:val="0FA80F53"/>
    <w:rsid w:val="0FA83AEC"/>
    <w:rsid w:val="0FA923E3"/>
    <w:rsid w:val="0FA951F7"/>
    <w:rsid w:val="0FAC43CD"/>
    <w:rsid w:val="0FAC4401"/>
    <w:rsid w:val="0FAD4446"/>
    <w:rsid w:val="0FAE09D7"/>
    <w:rsid w:val="0FB104C7"/>
    <w:rsid w:val="0FB2113D"/>
    <w:rsid w:val="0FB56CC6"/>
    <w:rsid w:val="0FB84E6E"/>
    <w:rsid w:val="0FBA737B"/>
    <w:rsid w:val="0FBC02A4"/>
    <w:rsid w:val="0FBE29A1"/>
    <w:rsid w:val="0FBF2BE4"/>
    <w:rsid w:val="0FBF7204"/>
    <w:rsid w:val="0FC22DCA"/>
    <w:rsid w:val="0FC24B2A"/>
    <w:rsid w:val="0FC446C9"/>
    <w:rsid w:val="0FC96EA4"/>
    <w:rsid w:val="0FCA42ED"/>
    <w:rsid w:val="0FCB2073"/>
    <w:rsid w:val="0FCD5301"/>
    <w:rsid w:val="0FD03043"/>
    <w:rsid w:val="0FD14E19"/>
    <w:rsid w:val="0FD318D6"/>
    <w:rsid w:val="0FD348E1"/>
    <w:rsid w:val="0FD541B5"/>
    <w:rsid w:val="0FD92A0E"/>
    <w:rsid w:val="0FDB6A8A"/>
    <w:rsid w:val="0FDC5544"/>
    <w:rsid w:val="0FDC6129"/>
    <w:rsid w:val="0FDF1D07"/>
    <w:rsid w:val="0FE0016D"/>
    <w:rsid w:val="0FE021C6"/>
    <w:rsid w:val="0FE05BC1"/>
    <w:rsid w:val="0FE42813"/>
    <w:rsid w:val="0FE91A0F"/>
    <w:rsid w:val="0FE95EB3"/>
    <w:rsid w:val="0FEB39D9"/>
    <w:rsid w:val="0FEB6EFF"/>
    <w:rsid w:val="0FEC09E0"/>
    <w:rsid w:val="0FEE5277"/>
    <w:rsid w:val="0FEF0F56"/>
    <w:rsid w:val="0FEF2D27"/>
    <w:rsid w:val="0FF30ADF"/>
    <w:rsid w:val="0FF31027"/>
    <w:rsid w:val="0FF54858"/>
    <w:rsid w:val="0FF860F6"/>
    <w:rsid w:val="0FFC1742"/>
    <w:rsid w:val="0FFE195E"/>
    <w:rsid w:val="0FFF7141"/>
    <w:rsid w:val="10030D22"/>
    <w:rsid w:val="100432AF"/>
    <w:rsid w:val="10081EF9"/>
    <w:rsid w:val="100920B1"/>
    <w:rsid w:val="10101691"/>
    <w:rsid w:val="101051ED"/>
    <w:rsid w:val="1012475D"/>
    <w:rsid w:val="10196798"/>
    <w:rsid w:val="101B160F"/>
    <w:rsid w:val="102050E7"/>
    <w:rsid w:val="1021564D"/>
    <w:rsid w:val="10280789"/>
    <w:rsid w:val="102858E0"/>
    <w:rsid w:val="10293D8A"/>
    <w:rsid w:val="10297728"/>
    <w:rsid w:val="10297C3A"/>
    <w:rsid w:val="102E65DE"/>
    <w:rsid w:val="10325E34"/>
    <w:rsid w:val="10345380"/>
    <w:rsid w:val="10350DB4"/>
    <w:rsid w:val="103867F4"/>
    <w:rsid w:val="103E2716"/>
    <w:rsid w:val="104375BC"/>
    <w:rsid w:val="104414F2"/>
    <w:rsid w:val="104802A6"/>
    <w:rsid w:val="10482BD9"/>
    <w:rsid w:val="10484987"/>
    <w:rsid w:val="10495FC6"/>
    <w:rsid w:val="104A5D9A"/>
    <w:rsid w:val="104C2B80"/>
    <w:rsid w:val="104C3102"/>
    <w:rsid w:val="104E5D16"/>
    <w:rsid w:val="104F3F68"/>
    <w:rsid w:val="1051403A"/>
    <w:rsid w:val="10525806"/>
    <w:rsid w:val="10567156"/>
    <w:rsid w:val="10574F55"/>
    <w:rsid w:val="10593038"/>
    <w:rsid w:val="105C163B"/>
    <w:rsid w:val="105D7981"/>
    <w:rsid w:val="105E662E"/>
    <w:rsid w:val="106153B4"/>
    <w:rsid w:val="1065125C"/>
    <w:rsid w:val="10657150"/>
    <w:rsid w:val="106C7145"/>
    <w:rsid w:val="106D2F64"/>
    <w:rsid w:val="106F460A"/>
    <w:rsid w:val="1070041D"/>
    <w:rsid w:val="10721C2C"/>
    <w:rsid w:val="107240FA"/>
    <w:rsid w:val="1074781D"/>
    <w:rsid w:val="1079634A"/>
    <w:rsid w:val="107C4C75"/>
    <w:rsid w:val="107D6F5E"/>
    <w:rsid w:val="10813CEB"/>
    <w:rsid w:val="10821329"/>
    <w:rsid w:val="10864EB9"/>
    <w:rsid w:val="108C51BC"/>
    <w:rsid w:val="108E68AC"/>
    <w:rsid w:val="108F25B6"/>
    <w:rsid w:val="10907360"/>
    <w:rsid w:val="10914580"/>
    <w:rsid w:val="10940030"/>
    <w:rsid w:val="109401F4"/>
    <w:rsid w:val="10945061"/>
    <w:rsid w:val="109758B3"/>
    <w:rsid w:val="109820F3"/>
    <w:rsid w:val="10986BEA"/>
    <w:rsid w:val="10993435"/>
    <w:rsid w:val="109A6ABD"/>
    <w:rsid w:val="109D7108"/>
    <w:rsid w:val="10A0377E"/>
    <w:rsid w:val="10A10E9D"/>
    <w:rsid w:val="10A342B4"/>
    <w:rsid w:val="10A87B1C"/>
    <w:rsid w:val="10AA3894"/>
    <w:rsid w:val="10B14C22"/>
    <w:rsid w:val="10B573DF"/>
    <w:rsid w:val="10B63710"/>
    <w:rsid w:val="10B70BF5"/>
    <w:rsid w:val="10B71B0D"/>
    <w:rsid w:val="10B93AD7"/>
    <w:rsid w:val="10BA1785"/>
    <w:rsid w:val="10BD5CD1"/>
    <w:rsid w:val="10BE2B8F"/>
    <w:rsid w:val="10BE74ED"/>
    <w:rsid w:val="10BF4BC7"/>
    <w:rsid w:val="10C106DD"/>
    <w:rsid w:val="10C31016"/>
    <w:rsid w:val="10C62B44"/>
    <w:rsid w:val="10C83D1A"/>
    <w:rsid w:val="10C85AC8"/>
    <w:rsid w:val="10CC138B"/>
    <w:rsid w:val="10CD1330"/>
    <w:rsid w:val="10CD7582"/>
    <w:rsid w:val="10D34B99"/>
    <w:rsid w:val="10DA4383"/>
    <w:rsid w:val="10DB3A4D"/>
    <w:rsid w:val="10DC3590"/>
    <w:rsid w:val="10DD4DDE"/>
    <w:rsid w:val="10DD792F"/>
    <w:rsid w:val="10DE353E"/>
    <w:rsid w:val="10E03A86"/>
    <w:rsid w:val="10E078D3"/>
    <w:rsid w:val="10E46831"/>
    <w:rsid w:val="10E53F51"/>
    <w:rsid w:val="10E87F18"/>
    <w:rsid w:val="10E90E86"/>
    <w:rsid w:val="10EA5506"/>
    <w:rsid w:val="10EB18B6"/>
    <w:rsid w:val="10EC085B"/>
    <w:rsid w:val="10EC7A09"/>
    <w:rsid w:val="10EF74F9"/>
    <w:rsid w:val="10F10820"/>
    <w:rsid w:val="10F13271"/>
    <w:rsid w:val="10F157A1"/>
    <w:rsid w:val="10F16DCD"/>
    <w:rsid w:val="10F72BB8"/>
    <w:rsid w:val="10FA0157"/>
    <w:rsid w:val="10FA2DD1"/>
    <w:rsid w:val="10FD39C4"/>
    <w:rsid w:val="10FE2DDD"/>
    <w:rsid w:val="11024C5E"/>
    <w:rsid w:val="11061FD5"/>
    <w:rsid w:val="11066919"/>
    <w:rsid w:val="110805BA"/>
    <w:rsid w:val="11082369"/>
    <w:rsid w:val="1109680C"/>
    <w:rsid w:val="110D709C"/>
    <w:rsid w:val="110F04E6"/>
    <w:rsid w:val="11120014"/>
    <w:rsid w:val="11150F0E"/>
    <w:rsid w:val="11151303"/>
    <w:rsid w:val="11153C7F"/>
    <w:rsid w:val="111559BE"/>
    <w:rsid w:val="11177110"/>
    <w:rsid w:val="11193CAD"/>
    <w:rsid w:val="11194576"/>
    <w:rsid w:val="111C277A"/>
    <w:rsid w:val="111C2F7A"/>
    <w:rsid w:val="111D2487"/>
    <w:rsid w:val="111D29B6"/>
    <w:rsid w:val="111E3E22"/>
    <w:rsid w:val="111F404A"/>
    <w:rsid w:val="11216BE1"/>
    <w:rsid w:val="11221E86"/>
    <w:rsid w:val="1124325C"/>
    <w:rsid w:val="112453F4"/>
    <w:rsid w:val="11254CC9"/>
    <w:rsid w:val="1127367D"/>
    <w:rsid w:val="112A06CC"/>
    <w:rsid w:val="112B6917"/>
    <w:rsid w:val="112C3266"/>
    <w:rsid w:val="112C42A9"/>
    <w:rsid w:val="112D5989"/>
    <w:rsid w:val="112F0246"/>
    <w:rsid w:val="112F78F5"/>
    <w:rsid w:val="11300EBB"/>
    <w:rsid w:val="113044A5"/>
    <w:rsid w:val="11337C79"/>
    <w:rsid w:val="11384334"/>
    <w:rsid w:val="113849FC"/>
    <w:rsid w:val="113D0264"/>
    <w:rsid w:val="113E2CEA"/>
    <w:rsid w:val="1142587A"/>
    <w:rsid w:val="11462AFA"/>
    <w:rsid w:val="11462BA5"/>
    <w:rsid w:val="114710E3"/>
    <w:rsid w:val="11471555"/>
    <w:rsid w:val="114838FD"/>
    <w:rsid w:val="114919DC"/>
    <w:rsid w:val="11495374"/>
    <w:rsid w:val="114C1B4E"/>
    <w:rsid w:val="114C66F9"/>
    <w:rsid w:val="114E06C3"/>
    <w:rsid w:val="114E32DD"/>
    <w:rsid w:val="114F34FB"/>
    <w:rsid w:val="11533A80"/>
    <w:rsid w:val="1153530B"/>
    <w:rsid w:val="1155161B"/>
    <w:rsid w:val="11567578"/>
    <w:rsid w:val="115D4462"/>
    <w:rsid w:val="115E4495"/>
    <w:rsid w:val="11603F53"/>
    <w:rsid w:val="11606A2D"/>
    <w:rsid w:val="11617A12"/>
    <w:rsid w:val="11656789"/>
    <w:rsid w:val="11665CA1"/>
    <w:rsid w:val="1176558E"/>
    <w:rsid w:val="11777588"/>
    <w:rsid w:val="11796606"/>
    <w:rsid w:val="117A1736"/>
    <w:rsid w:val="117B5C95"/>
    <w:rsid w:val="117E335D"/>
    <w:rsid w:val="11844FE6"/>
    <w:rsid w:val="11845E93"/>
    <w:rsid w:val="118539B9"/>
    <w:rsid w:val="11873526"/>
    <w:rsid w:val="11895257"/>
    <w:rsid w:val="118B160E"/>
    <w:rsid w:val="118F0A79"/>
    <w:rsid w:val="118F45F2"/>
    <w:rsid w:val="118F58F9"/>
    <w:rsid w:val="11901745"/>
    <w:rsid w:val="11907ABC"/>
    <w:rsid w:val="1191397D"/>
    <w:rsid w:val="11917266"/>
    <w:rsid w:val="11924EB2"/>
    <w:rsid w:val="11931A27"/>
    <w:rsid w:val="11932D4F"/>
    <w:rsid w:val="11950E8F"/>
    <w:rsid w:val="11957A79"/>
    <w:rsid w:val="11992ED6"/>
    <w:rsid w:val="11995990"/>
    <w:rsid w:val="119E7ED8"/>
    <w:rsid w:val="119F7054"/>
    <w:rsid w:val="11A26FBC"/>
    <w:rsid w:val="11A6405B"/>
    <w:rsid w:val="11A976A8"/>
    <w:rsid w:val="11AC2BD3"/>
    <w:rsid w:val="11AF1459"/>
    <w:rsid w:val="11B20ADA"/>
    <w:rsid w:val="11B26F05"/>
    <w:rsid w:val="11B43EFD"/>
    <w:rsid w:val="11B524F0"/>
    <w:rsid w:val="11B60AA5"/>
    <w:rsid w:val="11B80A78"/>
    <w:rsid w:val="11B97BE8"/>
    <w:rsid w:val="11BC387F"/>
    <w:rsid w:val="11BF3ECF"/>
    <w:rsid w:val="11C03A11"/>
    <w:rsid w:val="11C14FB2"/>
    <w:rsid w:val="11C176E4"/>
    <w:rsid w:val="11C24C0D"/>
    <w:rsid w:val="11C268B8"/>
    <w:rsid w:val="11C7364C"/>
    <w:rsid w:val="11C75D03"/>
    <w:rsid w:val="11C821F1"/>
    <w:rsid w:val="11CB1D14"/>
    <w:rsid w:val="11CC15E8"/>
    <w:rsid w:val="11CC17D1"/>
    <w:rsid w:val="11CC7FCA"/>
    <w:rsid w:val="11D02E86"/>
    <w:rsid w:val="11D34871"/>
    <w:rsid w:val="11D36BF5"/>
    <w:rsid w:val="11D3768E"/>
    <w:rsid w:val="11D419C8"/>
    <w:rsid w:val="11D46919"/>
    <w:rsid w:val="11D566EF"/>
    <w:rsid w:val="11D87F8D"/>
    <w:rsid w:val="11D944EF"/>
    <w:rsid w:val="11DA3796"/>
    <w:rsid w:val="11DE3079"/>
    <w:rsid w:val="11DE534A"/>
    <w:rsid w:val="11DF4949"/>
    <w:rsid w:val="11E208E7"/>
    <w:rsid w:val="11E22BBA"/>
    <w:rsid w:val="11E23AF0"/>
    <w:rsid w:val="11E27267"/>
    <w:rsid w:val="11E3706C"/>
    <w:rsid w:val="11E42AF1"/>
    <w:rsid w:val="11E521C2"/>
    <w:rsid w:val="11E53D0F"/>
    <w:rsid w:val="11E635AF"/>
    <w:rsid w:val="11E93F48"/>
    <w:rsid w:val="11EA140B"/>
    <w:rsid w:val="11F02C05"/>
    <w:rsid w:val="11F0592A"/>
    <w:rsid w:val="11F567E3"/>
    <w:rsid w:val="11F63450"/>
    <w:rsid w:val="11F76665"/>
    <w:rsid w:val="11FA7F03"/>
    <w:rsid w:val="11FC1B92"/>
    <w:rsid w:val="12010661"/>
    <w:rsid w:val="12015736"/>
    <w:rsid w:val="12044CC9"/>
    <w:rsid w:val="12046FD4"/>
    <w:rsid w:val="120475D7"/>
    <w:rsid w:val="12082E82"/>
    <w:rsid w:val="12090E79"/>
    <w:rsid w:val="12096398"/>
    <w:rsid w:val="120B2110"/>
    <w:rsid w:val="1210431C"/>
    <w:rsid w:val="12105979"/>
    <w:rsid w:val="12187234"/>
    <w:rsid w:val="121A2654"/>
    <w:rsid w:val="121B22BF"/>
    <w:rsid w:val="121C5563"/>
    <w:rsid w:val="121E0096"/>
    <w:rsid w:val="121F203A"/>
    <w:rsid w:val="121F2D08"/>
    <w:rsid w:val="121F6D3E"/>
    <w:rsid w:val="12202AB8"/>
    <w:rsid w:val="122136E2"/>
    <w:rsid w:val="122172DA"/>
    <w:rsid w:val="1224683B"/>
    <w:rsid w:val="1227331F"/>
    <w:rsid w:val="12273A42"/>
    <w:rsid w:val="122A4C8C"/>
    <w:rsid w:val="122C64CE"/>
    <w:rsid w:val="122F4786"/>
    <w:rsid w:val="1230601B"/>
    <w:rsid w:val="12312651"/>
    <w:rsid w:val="123553DF"/>
    <w:rsid w:val="12360D34"/>
    <w:rsid w:val="12374CB3"/>
    <w:rsid w:val="123762DA"/>
    <w:rsid w:val="12382DC6"/>
    <w:rsid w:val="123B1E39"/>
    <w:rsid w:val="123F1DBA"/>
    <w:rsid w:val="12406B26"/>
    <w:rsid w:val="1242164B"/>
    <w:rsid w:val="12472700"/>
    <w:rsid w:val="12486EC1"/>
    <w:rsid w:val="124A42C6"/>
    <w:rsid w:val="124B075F"/>
    <w:rsid w:val="124E4E5A"/>
    <w:rsid w:val="124F1112"/>
    <w:rsid w:val="12511ED5"/>
    <w:rsid w:val="125D07AF"/>
    <w:rsid w:val="126006AE"/>
    <w:rsid w:val="1260229D"/>
    <w:rsid w:val="12614426"/>
    <w:rsid w:val="12623816"/>
    <w:rsid w:val="126301F5"/>
    <w:rsid w:val="12631F4C"/>
    <w:rsid w:val="1265085E"/>
    <w:rsid w:val="12654788"/>
    <w:rsid w:val="12661793"/>
    <w:rsid w:val="12665599"/>
    <w:rsid w:val="12681311"/>
    <w:rsid w:val="12685460"/>
    <w:rsid w:val="12687563"/>
    <w:rsid w:val="12690D63"/>
    <w:rsid w:val="12691A62"/>
    <w:rsid w:val="126D4B79"/>
    <w:rsid w:val="127266E1"/>
    <w:rsid w:val="12744159"/>
    <w:rsid w:val="12767C6C"/>
    <w:rsid w:val="12786CBC"/>
    <w:rsid w:val="127A7296"/>
    <w:rsid w:val="127A7374"/>
    <w:rsid w:val="127C5F5B"/>
    <w:rsid w:val="127D7ED7"/>
    <w:rsid w:val="127E013D"/>
    <w:rsid w:val="1283614B"/>
    <w:rsid w:val="128439BD"/>
    <w:rsid w:val="12887BC1"/>
    <w:rsid w:val="128A19E0"/>
    <w:rsid w:val="12922CED"/>
    <w:rsid w:val="129251B1"/>
    <w:rsid w:val="12955E7E"/>
    <w:rsid w:val="1295707E"/>
    <w:rsid w:val="12986761"/>
    <w:rsid w:val="1299596E"/>
    <w:rsid w:val="1299771C"/>
    <w:rsid w:val="129C0FBA"/>
    <w:rsid w:val="129C3316"/>
    <w:rsid w:val="129C4854"/>
    <w:rsid w:val="12A16F96"/>
    <w:rsid w:val="12A31D75"/>
    <w:rsid w:val="12A32349"/>
    <w:rsid w:val="12A75300"/>
    <w:rsid w:val="12A762DD"/>
    <w:rsid w:val="12A91F6E"/>
    <w:rsid w:val="12AA7B7B"/>
    <w:rsid w:val="12AD256D"/>
    <w:rsid w:val="12AF0CEE"/>
    <w:rsid w:val="12B27899"/>
    <w:rsid w:val="12B410E2"/>
    <w:rsid w:val="12B46304"/>
    <w:rsid w:val="12B75811"/>
    <w:rsid w:val="12BB65C0"/>
    <w:rsid w:val="12BC165D"/>
    <w:rsid w:val="12BD1D1C"/>
    <w:rsid w:val="12BE1F94"/>
    <w:rsid w:val="12BE53D5"/>
    <w:rsid w:val="12C248FB"/>
    <w:rsid w:val="12C35E8C"/>
    <w:rsid w:val="12C56B56"/>
    <w:rsid w:val="12C86253"/>
    <w:rsid w:val="12CE79C4"/>
    <w:rsid w:val="12CF75E2"/>
    <w:rsid w:val="12D0744E"/>
    <w:rsid w:val="12D13353"/>
    <w:rsid w:val="12D20E80"/>
    <w:rsid w:val="12D270D2"/>
    <w:rsid w:val="12D30B49"/>
    <w:rsid w:val="12D535DA"/>
    <w:rsid w:val="12D7313E"/>
    <w:rsid w:val="12DB0173"/>
    <w:rsid w:val="12DB459D"/>
    <w:rsid w:val="12DB6D03"/>
    <w:rsid w:val="12DC3AAD"/>
    <w:rsid w:val="12E12FFB"/>
    <w:rsid w:val="12E17029"/>
    <w:rsid w:val="12E22F9B"/>
    <w:rsid w:val="12E2394F"/>
    <w:rsid w:val="12E35E2B"/>
    <w:rsid w:val="12E35EDE"/>
    <w:rsid w:val="12E4220B"/>
    <w:rsid w:val="12E46786"/>
    <w:rsid w:val="12E524E2"/>
    <w:rsid w:val="12E705B0"/>
    <w:rsid w:val="12E77B63"/>
    <w:rsid w:val="12F07F48"/>
    <w:rsid w:val="12F2475E"/>
    <w:rsid w:val="12F66FCA"/>
    <w:rsid w:val="12F94BD1"/>
    <w:rsid w:val="12FF1D14"/>
    <w:rsid w:val="130075CD"/>
    <w:rsid w:val="13023D5D"/>
    <w:rsid w:val="1303728B"/>
    <w:rsid w:val="130717D5"/>
    <w:rsid w:val="13073E43"/>
    <w:rsid w:val="1307489B"/>
    <w:rsid w:val="13074E9B"/>
    <w:rsid w:val="130C65B6"/>
    <w:rsid w:val="130D1BB6"/>
    <w:rsid w:val="130D1BD3"/>
    <w:rsid w:val="130E3229"/>
    <w:rsid w:val="130F1E2E"/>
    <w:rsid w:val="130F3E82"/>
    <w:rsid w:val="130F79DE"/>
    <w:rsid w:val="130F7B50"/>
    <w:rsid w:val="131119A8"/>
    <w:rsid w:val="13120BF4"/>
    <w:rsid w:val="1312127D"/>
    <w:rsid w:val="131312EA"/>
    <w:rsid w:val="13140860"/>
    <w:rsid w:val="13141499"/>
    <w:rsid w:val="13143247"/>
    <w:rsid w:val="13166FBF"/>
    <w:rsid w:val="131806DC"/>
    <w:rsid w:val="1318438A"/>
    <w:rsid w:val="131A1767"/>
    <w:rsid w:val="131B6383"/>
    <w:rsid w:val="13223C89"/>
    <w:rsid w:val="13227331"/>
    <w:rsid w:val="13245FA2"/>
    <w:rsid w:val="13257202"/>
    <w:rsid w:val="13262A11"/>
    <w:rsid w:val="132A1360"/>
    <w:rsid w:val="132B1B4E"/>
    <w:rsid w:val="13316FB6"/>
    <w:rsid w:val="133438E9"/>
    <w:rsid w:val="1334467F"/>
    <w:rsid w:val="13347445"/>
    <w:rsid w:val="13394C63"/>
    <w:rsid w:val="133A06D4"/>
    <w:rsid w:val="133A44C3"/>
    <w:rsid w:val="133A75CD"/>
    <w:rsid w:val="133B4264"/>
    <w:rsid w:val="133F0349"/>
    <w:rsid w:val="1340403C"/>
    <w:rsid w:val="13441D7E"/>
    <w:rsid w:val="134578A4"/>
    <w:rsid w:val="134742D6"/>
    <w:rsid w:val="13482EF0"/>
    <w:rsid w:val="134922DA"/>
    <w:rsid w:val="134A37D0"/>
    <w:rsid w:val="134C478E"/>
    <w:rsid w:val="13510853"/>
    <w:rsid w:val="13515EBF"/>
    <w:rsid w:val="135475F4"/>
    <w:rsid w:val="13547AE7"/>
    <w:rsid w:val="13595FEF"/>
    <w:rsid w:val="135A334F"/>
    <w:rsid w:val="135F15C2"/>
    <w:rsid w:val="13616E91"/>
    <w:rsid w:val="13620456"/>
    <w:rsid w:val="13623C05"/>
    <w:rsid w:val="136A2E67"/>
    <w:rsid w:val="136C1140"/>
    <w:rsid w:val="1376018A"/>
    <w:rsid w:val="13763F01"/>
    <w:rsid w:val="137837D5"/>
    <w:rsid w:val="137C1F6A"/>
    <w:rsid w:val="137E1718"/>
    <w:rsid w:val="137F4A9F"/>
    <w:rsid w:val="13817292"/>
    <w:rsid w:val="138228A6"/>
    <w:rsid w:val="1383313B"/>
    <w:rsid w:val="13877EBC"/>
    <w:rsid w:val="13891931"/>
    <w:rsid w:val="138A3509"/>
    <w:rsid w:val="138D5FCD"/>
    <w:rsid w:val="13942D45"/>
    <w:rsid w:val="13951726"/>
    <w:rsid w:val="139A7BF0"/>
    <w:rsid w:val="139C549D"/>
    <w:rsid w:val="139C67CC"/>
    <w:rsid w:val="139E0A8B"/>
    <w:rsid w:val="13A02D2C"/>
    <w:rsid w:val="13A24CF6"/>
    <w:rsid w:val="13A315A4"/>
    <w:rsid w:val="13A6184F"/>
    <w:rsid w:val="13AA6E6F"/>
    <w:rsid w:val="13AB3F57"/>
    <w:rsid w:val="13AC4534"/>
    <w:rsid w:val="13AC6743"/>
    <w:rsid w:val="13AD455F"/>
    <w:rsid w:val="13AE1D39"/>
    <w:rsid w:val="13AE53E1"/>
    <w:rsid w:val="13AE5C6E"/>
    <w:rsid w:val="13B11811"/>
    <w:rsid w:val="13B6011A"/>
    <w:rsid w:val="13B67184"/>
    <w:rsid w:val="13C133CE"/>
    <w:rsid w:val="13C2037B"/>
    <w:rsid w:val="13C221FD"/>
    <w:rsid w:val="13C22CA3"/>
    <w:rsid w:val="13C24A51"/>
    <w:rsid w:val="13C41D00"/>
    <w:rsid w:val="13C45E8C"/>
    <w:rsid w:val="13C9247B"/>
    <w:rsid w:val="13CA5596"/>
    <w:rsid w:val="13CC45F7"/>
    <w:rsid w:val="13D12EE6"/>
    <w:rsid w:val="13D44784"/>
    <w:rsid w:val="13D71888"/>
    <w:rsid w:val="13D75682"/>
    <w:rsid w:val="13D80718"/>
    <w:rsid w:val="13DB6BA1"/>
    <w:rsid w:val="13DC7E98"/>
    <w:rsid w:val="13E149ED"/>
    <w:rsid w:val="13E56991"/>
    <w:rsid w:val="13E666BC"/>
    <w:rsid w:val="13E822FA"/>
    <w:rsid w:val="13EB3A48"/>
    <w:rsid w:val="13EC2C98"/>
    <w:rsid w:val="13EC7D20"/>
    <w:rsid w:val="13ED1963"/>
    <w:rsid w:val="13EE1CEA"/>
    <w:rsid w:val="13F015BE"/>
    <w:rsid w:val="13F07B87"/>
    <w:rsid w:val="13F33B15"/>
    <w:rsid w:val="13F600D9"/>
    <w:rsid w:val="13F6294C"/>
    <w:rsid w:val="13FA68E0"/>
    <w:rsid w:val="13FD6EBD"/>
    <w:rsid w:val="13FE5248"/>
    <w:rsid w:val="13FF7D4D"/>
    <w:rsid w:val="14012384"/>
    <w:rsid w:val="140137CB"/>
    <w:rsid w:val="140432BB"/>
    <w:rsid w:val="14056CF0"/>
    <w:rsid w:val="14065EE0"/>
    <w:rsid w:val="14067033"/>
    <w:rsid w:val="14092A9B"/>
    <w:rsid w:val="140934BC"/>
    <w:rsid w:val="14107EB2"/>
    <w:rsid w:val="141F6C05"/>
    <w:rsid w:val="14215BE8"/>
    <w:rsid w:val="14224008"/>
    <w:rsid w:val="14224A80"/>
    <w:rsid w:val="1423286E"/>
    <w:rsid w:val="1424683A"/>
    <w:rsid w:val="14255505"/>
    <w:rsid w:val="14270D58"/>
    <w:rsid w:val="14294AD0"/>
    <w:rsid w:val="142976E9"/>
    <w:rsid w:val="1430601C"/>
    <w:rsid w:val="14321BD6"/>
    <w:rsid w:val="14324CE6"/>
    <w:rsid w:val="14335E38"/>
    <w:rsid w:val="143928BD"/>
    <w:rsid w:val="14396509"/>
    <w:rsid w:val="143B1624"/>
    <w:rsid w:val="143E4A1F"/>
    <w:rsid w:val="143E6831"/>
    <w:rsid w:val="14453784"/>
    <w:rsid w:val="144801E8"/>
    <w:rsid w:val="144821C8"/>
    <w:rsid w:val="14495172"/>
    <w:rsid w:val="144A5430"/>
    <w:rsid w:val="144A5F54"/>
    <w:rsid w:val="144B0EEA"/>
    <w:rsid w:val="144E5F58"/>
    <w:rsid w:val="144E6B0B"/>
    <w:rsid w:val="14540DDB"/>
    <w:rsid w:val="14545419"/>
    <w:rsid w:val="14552E52"/>
    <w:rsid w:val="14553F41"/>
    <w:rsid w:val="14570DB3"/>
    <w:rsid w:val="14577E7A"/>
    <w:rsid w:val="14592015"/>
    <w:rsid w:val="145A6A37"/>
    <w:rsid w:val="145E6B05"/>
    <w:rsid w:val="145E6E6F"/>
    <w:rsid w:val="14615578"/>
    <w:rsid w:val="1466697D"/>
    <w:rsid w:val="14667AD2"/>
    <w:rsid w:val="14693C36"/>
    <w:rsid w:val="146A4BBF"/>
    <w:rsid w:val="146B47FA"/>
    <w:rsid w:val="1470368E"/>
    <w:rsid w:val="1471226C"/>
    <w:rsid w:val="14727ABB"/>
    <w:rsid w:val="14730BE1"/>
    <w:rsid w:val="14774A31"/>
    <w:rsid w:val="14784739"/>
    <w:rsid w:val="147B7B5B"/>
    <w:rsid w:val="147C10A3"/>
    <w:rsid w:val="147F6DE6"/>
    <w:rsid w:val="14807CED"/>
    <w:rsid w:val="14894F33"/>
    <w:rsid w:val="148A79D0"/>
    <w:rsid w:val="148C2B0E"/>
    <w:rsid w:val="148F7029"/>
    <w:rsid w:val="149208C7"/>
    <w:rsid w:val="14934330"/>
    <w:rsid w:val="14956F7C"/>
    <w:rsid w:val="14972433"/>
    <w:rsid w:val="1497412F"/>
    <w:rsid w:val="149C7709"/>
    <w:rsid w:val="14A10BEF"/>
    <w:rsid w:val="14A14FAE"/>
    <w:rsid w:val="14A16473"/>
    <w:rsid w:val="14A32AD4"/>
    <w:rsid w:val="14A3482A"/>
    <w:rsid w:val="14A34AA8"/>
    <w:rsid w:val="14A42AC3"/>
    <w:rsid w:val="14A56055"/>
    <w:rsid w:val="14A90073"/>
    <w:rsid w:val="14A9318C"/>
    <w:rsid w:val="14A96834"/>
    <w:rsid w:val="14AD74AF"/>
    <w:rsid w:val="14B16407"/>
    <w:rsid w:val="14B20F69"/>
    <w:rsid w:val="14B33206"/>
    <w:rsid w:val="14B40585"/>
    <w:rsid w:val="14B4083D"/>
    <w:rsid w:val="14B9008F"/>
    <w:rsid w:val="14BE4E0C"/>
    <w:rsid w:val="14C121BA"/>
    <w:rsid w:val="14C34F24"/>
    <w:rsid w:val="14C447F8"/>
    <w:rsid w:val="14C52E6B"/>
    <w:rsid w:val="14C56C08"/>
    <w:rsid w:val="14C667C2"/>
    <w:rsid w:val="14C81C48"/>
    <w:rsid w:val="14CA0033"/>
    <w:rsid w:val="14CE21E9"/>
    <w:rsid w:val="14CF1965"/>
    <w:rsid w:val="14CF5986"/>
    <w:rsid w:val="14D16ED2"/>
    <w:rsid w:val="14D40EDF"/>
    <w:rsid w:val="14D67D2F"/>
    <w:rsid w:val="14DD2C3C"/>
    <w:rsid w:val="14DD66AB"/>
    <w:rsid w:val="14E37374"/>
    <w:rsid w:val="14E422C9"/>
    <w:rsid w:val="14E434E9"/>
    <w:rsid w:val="14E8498B"/>
    <w:rsid w:val="14EA0E8A"/>
    <w:rsid w:val="14ED2F81"/>
    <w:rsid w:val="14F21FBC"/>
    <w:rsid w:val="14F41DDB"/>
    <w:rsid w:val="14F4795B"/>
    <w:rsid w:val="14F568CF"/>
    <w:rsid w:val="14F66E39"/>
    <w:rsid w:val="14F7176A"/>
    <w:rsid w:val="14FD03E2"/>
    <w:rsid w:val="150074A8"/>
    <w:rsid w:val="150123CC"/>
    <w:rsid w:val="15031625"/>
    <w:rsid w:val="15043901"/>
    <w:rsid w:val="15056E9D"/>
    <w:rsid w:val="15064E11"/>
    <w:rsid w:val="150764DC"/>
    <w:rsid w:val="150C0D32"/>
    <w:rsid w:val="150C2E2B"/>
    <w:rsid w:val="15124D07"/>
    <w:rsid w:val="15137D80"/>
    <w:rsid w:val="15153611"/>
    <w:rsid w:val="151617EA"/>
    <w:rsid w:val="15170DCC"/>
    <w:rsid w:val="151878CA"/>
    <w:rsid w:val="1519082C"/>
    <w:rsid w:val="151954D8"/>
    <w:rsid w:val="151A51F3"/>
    <w:rsid w:val="151B468F"/>
    <w:rsid w:val="151F7D8E"/>
    <w:rsid w:val="152172F9"/>
    <w:rsid w:val="15217A53"/>
    <w:rsid w:val="1525173B"/>
    <w:rsid w:val="152564D1"/>
    <w:rsid w:val="15292570"/>
    <w:rsid w:val="152A1F55"/>
    <w:rsid w:val="152D35D9"/>
    <w:rsid w:val="15300DB5"/>
    <w:rsid w:val="153040BD"/>
    <w:rsid w:val="1534372C"/>
    <w:rsid w:val="1534787E"/>
    <w:rsid w:val="15361FA3"/>
    <w:rsid w:val="15391254"/>
    <w:rsid w:val="153C3F64"/>
    <w:rsid w:val="153D3D13"/>
    <w:rsid w:val="153E009B"/>
    <w:rsid w:val="153F476E"/>
    <w:rsid w:val="15415E49"/>
    <w:rsid w:val="1541668C"/>
    <w:rsid w:val="15440889"/>
    <w:rsid w:val="154544E0"/>
    <w:rsid w:val="154B1D18"/>
    <w:rsid w:val="154B7116"/>
    <w:rsid w:val="154D47EE"/>
    <w:rsid w:val="155064FA"/>
    <w:rsid w:val="15506B23"/>
    <w:rsid w:val="15520056"/>
    <w:rsid w:val="155212B7"/>
    <w:rsid w:val="155552E1"/>
    <w:rsid w:val="15564048"/>
    <w:rsid w:val="15581B10"/>
    <w:rsid w:val="155913E5"/>
    <w:rsid w:val="15593193"/>
    <w:rsid w:val="155D7127"/>
    <w:rsid w:val="156033BE"/>
    <w:rsid w:val="15617D9C"/>
    <w:rsid w:val="15634011"/>
    <w:rsid w:val="156404B5"/>
    <w:rsid w:val="15647E55"/>
    <w:rsid w:val="15676C0A"/>
    <w:rsid w:val="156C736A"/>
    <w:rsid w:val="156E0A75"/>
    <w:rsid w:val="156E2BBD"/>
    <w:rsid w:val="156F1CFB"/>
    <w:rsid w:val="156F29B6"/>
    <w:rsid w:val="15735EBE"/>
    <w:rsid w:val="15740997"/>
    <w:rsid w:val="1576211D"/>
    <w:rsid w:val="1578154F"/>
    <w:rsid w:val="15783F61"/>
    <w:rsid w:val="157A5F92"/>
    <w:rsid w:val="157C0DF8"/>
    <w:rsid w:val="157C762B"/>
    <w:rsid w:val="157C7807"/>
    <w:rsid w:val="157E4CD1"/>
    <w:rsid w:val="157F6261"/>
    <w:rsid w:val="1583226D"/>
    <w:rsid w:val="158521DA"/>
    <w:rsid w:val="15875F52"/>
    <w:rsid w:val="15883CFD"/>
    <w:rsid w:val="158A3C94"/>
    <w:rsid w:val="158A440E"/>
    <w:rsid w:val="158A7C75"/>
    <w:rsid w:val="158C2634"/>
    <w:rsid w:val="15904C1A"/>
    <w:rsid w:val="15924E8D"/>
    <w:rsid w:val="1594066F"/>
    <w:rsid w:val="159478EF"/>
    <w:rsid w:val="159B3E30"/>
    <w:rsid w:val="159D3A4B"/>
    <w:rsid w:val="159F2CCA"/>
    <w:rsid w:val="15A1439F"/>
    <w:rsid w:val="15A22037"/>
    <w:rsid w:val="15A53E2E"/>
    <w:rsid w:val="15A9411A"/>
    <w:rsid w:val="15AB3CF9"/>
    <w:rsid w:val="15AB464D"/>
    <w:rsid w:val="15B17473"/>
    <w:rsid w:val="15B24AA5"/>
    <w:rsid w:val="15B652DB"/>
    <w:rsid w:val="15BA0DE1"/>
    <w:rsid w:val="15BA5E1A"/>
    <w:rsid w:val="15BB22FA"/>
    <w:rsid w:val="15BC3760"/>
    <w:rsid w:val="15C05298"/>
    <w:rsid w:val="15C070BB"/>
    <w:rsid w:val="15C1231E"/>
    <w:rsid w:val="15C27640"/>
    <w:rsid w:val="15C4422C"/>
    <w:rsid w:val="15C56A7A"/>
    <w:rsid w:val="15CA33F3"/>
    <w:rsid w:val="15CD770B"/>
    <w:rsid w:val="15CE3B81"/>
    <w:rsid w:val="15CE7C0C"/>
    <w:rsid w:val="15D03520"/>
    <w:rsid w:val="15D057F3"/>
    <w:rsid w:val="15D059CB"/>
    <w:rsid w:val="15D1269C"/>
    <w:rsid w:val="15D13671"/>
    <w:rsid w:val="15D171CD"/>
    <w:rsid w:val="15D22C36"/>
    <w:rsid w:val="15D66ED9"/>
    <w:rsid w:val="15D72771"/>
    <w:rsid w:val="15DC513A"/>
    <w:rsid w:val="15DF437D"/>
    <w:rsid w:val="15E11B06"/>
    <w:rsid w:val="15E769F0"/>
    <w:rsid w:val="15E92769"/>
    <w:rsid w:val="15EC37A8"/>
    <w:rsid w:val="15EE6C81"/>
    <w:rsid w:val="15EF525A"/>
    <w:rsid w:val="15EF58A5"/>
    <w:rsid w:val="15F1786F"/>
    <w:rsid w:val="15F5110D"/>
    <w:rsid w:val="15F6152E"/>
    <w:rsid w:val="15F674B6"/>
    <w:rsid w:val="15F764D1"/>
    <w:rsid w:val="15F80BFE"/>
    <w:rsid w:val="15FA06DC"/>
    <w:rsid w:val="15FC2454"/>
    <w:rsid w:val="15FE7BFD"/>
    <w:rsid w:val="15FF3D3A"/>
    <w:rsid w:val="15FF40B4"/>
    <w:rsid w:val="160000DD"/>
    <w:rsid w:val="160045D2"/>
    <w:rsid w:val="160160BA"/>
    <w:rsid w:val="16021A7C"/>
    <w:rsid w:val="16076896"/>
    <w:rsid w:val="16087E1D"/>
    <w:rsid w:val="160A41EA"/>
    <w:rsid w:val="160B137F"/>
    <w:rsid w:val="160D098F"/>
    <w:rsid w:val="160E023B"/>
    <w:rsid w:val="160F471D"/>
    <w:rsid w:val="160F7CF5"/>
    <w:rsid w:val="161054D3"/>
    <w:rsid w:val="16105F47"/>
    <w:rsid w:val="161517B0"/>
    <w:rsid w:val="161677BB"/>
    <w:rsid w:val="161A019A"/>
    <w:rsid w:val="161A5128"/>
    <w:rsid w:val="1624238D"/>
    <w:rsid w:val="1625081C"/>
    <w:rsid w:val="162639BD"/>
    <w:rsid w:val="16267973"/>
    <w:rsid w:val="16274098"/>
    <w:rsid w:val="162A4C50"/>
    <w:rsid w:val="162D4D4B"/>
    <w:rsid w:val="162F4336"/>
    <w:rsid w:val="16300728"/>
    <w:rsid w:val="163079A0"/>
    <w:rsid w:val="16321FBC"/>
    <w:rsid w:val="16323962"/>
    <w:rsid w:val="16337E88"/>
    <w:rsid w:val="1638724C"/>
    <w:rsid w:val="163A2FC4"/>
    <w:rsid w:val="163E6BDE"/>
    <w:rsid w:val="16404DAD"/>
    <w:rsid w:val="16445BF1"/>
    <w:rsid w:val="16465E0D"/>
    <w:rsid w:val="16495DF3"/>
    <w:rsid w:val="164C7E09"/>
    <w:rsid w:val="16504596"/>
    <w:rsid w:val="1655221C"/>
    <w:rsid w:val="1657321B"/>
    <w:rsid w:val="16585823"/>
    <w:rsid w:val="165C118C"/>
    <w:rsid w:val="165F27DC"/>
    <w:rsid w:val="166041CE"/>
    <w:rsid w:val="1662251B"/>
    <w:rsid w:val="166431BC"/>
    <w:rsid w:val="1664542E"/>
    <w:rsid w:val="16645DE2"/>
    <w:rsid w:val="166654D8"/>
    <w:rsid w:val="16683756"/>
    <w:rsid w:val="16691CFC"/>
    <w:rsid w:val="166A6ABB"/>
    <w:rsid w:val="166E3B56"/>
    <w:rsid w:val="166F082A"/>
    <w:rsid w:val="166F2376"/>
    <w:rsid w:val="16703842"/>
    <w:rsid w:val="167069E6"/>
    <w:rsid w:val="16726C02"/>
    <w:rsid w:val="1675224E"/>
    <w:rsid w:val="16763BD7"/>
    <w:rsid w:val="16763EEB"/>
    <w:rsid w:val="167669E7"/>
    <w:rsid w:val="167674FC"/>
    <w:rsid w:val="16775CF4"/>
    <w:rsid w:val="167A1613"/>
    <w:rsid w:val="16805733"/>
    <w:rsid w:val="16817906"/>
    <w:rsid w:val="16842491"/>
    <w:rsid w:val="168471A0"/>
    <w:rsid w:val="168741B4"/>
    <w:rsid w:val="168B1A72"/>
    <w:rsid w:val="168C1346"/>
    <w:rsid w:val="168C77E8"/>
    <w:rsid w:val="168E3310"/>
    <w:rsid w:val="168F0CEA"/>
    <w:rsid w:val="16931C9A"/>
    <w:rsid w:val="16933481"/>
    <w:rsid w:val="16947504"/>
    <w:rsid w:val="1695644C"/>
    <w:rsid w:val="16985FB1"/>
    <w:rsid w:val="16986F3D"/>
    <w:rsid w:val="169930B7"/>
    <w:rsid w:val="16995913"/>
    <w:rsid w:val="169C77DB"/>
    <w:rsid w:val="169F42CF"/>
    <w:rsid w:val="169F7815"/>
    <w:rsid w:val="16A30D57"/>
    <w:rsid w:val="16A57192"/>
    <w:rsid w:val="16AC2A8C"/>
    <w:rsid w:val="16AF1442"/>
    <w:rsid w:val="16B014D8"/>
    <w:rsid w:val="16B34135"/>
    <w:rsid w:val="16B46148"/>
    <w:rsid w:val="16BB004D"/>
    <w:rsid w:val="16BC2048"/>
    <w:rsid w:val="16BD27FA"/>
    <w:rsid w:val="16BE2DAD"/>
    <w:rsid w:val="16BE47A2"/>
    <w:rsid w:val="16C0593A"/>
    <w:rsid w:val="16C46D32"/>
    <w:rsid w:val="16C71B5E"/>
    <w:rsid w:val="16C86822"/>
    <w:rsid w:val="16CA1501"/>
    <w:rsid w:val="16CB6312"/>
    <w:rsid w:val="16CF122B"/>
    <w:rsid w:val="16D34381"/>
    <w:rsid w:val="16D355E3"/>
    <w:rsid w:val="16D47578"/>
    <w:rsid w:val="16D76575"/>
    <w:rsid w:val="16DA5879"/>
    <w:rsid w:val="16DE3BB8"/>
    <w:rsid w:val="16DE5F32"/>
    <w:rsid w:val="16E178E4"/>
    <w:rsid w:val="16E318AE"/>
    <w:rsid w:val="16E738AE"/>
    <w:rsid w:val="16E91E8E"/>
    <w:rsid w:val="16EA3291"/>
    <w:rsid w:val="16EB2510"/>
    <w:rsid w:val="16ED6E68"/>
    <w:rsid w:val="16EE6367"/>
    <w:rsid w:val="16EF3DAF"/>
    <w:rsid w:val="16F41863"/>
    <w:rsid w:val="16F42532"/>
    <w:rsid w:val="16F50F0B"/>
    <w:rsid w:val="16FA2D8B"/>
    <w:rsid w:val="16FA4494"/>
    <w:rsid w:val="16FE3FF2"/>
    <w:rsid w:val="1700449B"/>
    <w:rsid w:val="170316DD"/>
    <w:rsid w:val="17045380"/>
    <w:rsid w:val="17050E49"/>
    <w:rsid w:val="17062FAE"/>
    <w:rsid w:val="1706734A"/>
    <w:rsid w:val="170945D8"/>
    <w:rsid w:val="170F44C1"/>
    <w:rsid w:val="17143815"/>
    <w:rsid w:val="17144052"/>
    <w:rsid w:val="171564C8"/>
    <w:rsid w:val="171657DF"/>
    <w:rsid w:val="17171B05"/>
    <w:rsid w:val="171B0711"/>
    <w:rsid w:val="171B507C"/>
    <w:rsid w:val="171D281B"/>
    <w:rsid w:val="171E28E6"/>
    <w:rsid w:val="171E4694"/>
    <w:rsid w:val="171F0B5A"/>
    <w:rsid w:val="171F481C"/>
    <w:rsid w:val="17215F32"/>
    <w:rsid w:val="1726179A"/>
    <w:rsid w:val="172672DE"/>
    <w:rsid w:val="17275806"/>
    <w:rsid w:val="17283298"/>
    <w:rsid w:val="172B6DB1"/>
    <w:rsid w:val="172C5129"/>
    <w:rsid w:val="172F51E7"/>
    <w:rsid w:val="172F68A1"/>
    <w:rsid w:val="17310EBE"/>
    <w:rsid w:val="17313A2E"/>
    <w:rsid w:val="17314CBD"/>
    <w:rsid w:val="17317B00"/>
    <w:rsid w:val="17321608"/>
    <w:rsid w:val="17386A17"/>
    <w:rsid w:val="173A5947"/>
    <w:rsid w:val="173B2B09"/>
    <w:rsid w:val="173B5CDF"/>
    <w:rsid w:val="1740677F"/>
    <w:rsid w:val="17407766"/>
    <w:rsid w:val="174932B4"/>
    <w:rsid w:val="174A5489"/>
    <w:rsid w:val="174C1201"/>
    <w:rsid w:val="174F484D"/>
    <w:rsid w:val="1751381D"/>
    <w:rsid w:val="17533CB5"/>
    <w:rsid w:val="17544DF1"/>
    <w:rsid w:val="17577BA6"/>
    <w:rsid w:val="175B1444"/>
    <w:rsid w:val="175C2E16"/>
    <w:rsid w:val="175C775C"/>
    <w:rsid w:val="175D3AB5"/>
    <w:rsid w:val="175D45CE"/>
    <w:rsid w:val="175E64AB"/>
    <w:rsid w:val="175F3BF5"/>
    <w:rsid w:val="176427C5"/>
    <w:rsid w:val="17654071"/>
    <w:rsid w:val="17686B4F"/>
    <w:rsid w:val="176A78D9"/>
    <w:rsid w:val="176C1597"/>
    <w:rsid w:val="176D4948"/>
    <w:rsid w:val="176D6E17"/>
    <w:rsid w:val="176F400C"/>
    <w:rsid w:val="176F7015"/>
    <w:rsid w:val="17701D14"/>
    <w:rsid w:val="1771409B"/>
    <w:rsid w:val="17735226"/>
    <w:rsid w:val="17742506"/>
    <w:rsid w:val="17747B9C"/>
    <w:rsid w:val="17755D19"/>
    <w:rsid w:val="17780248"/>
    <w:rsid w:val="177B67A1"/>
    <w:rsid w:val="177C174F"/>
    <w:rsid w:val="177E6B0C"/>
    <w:rsid w:val="17806632"/>
    <w:rsid w:val="178D1F36"/>
    <w:rsid w:val="179130B8"/>
    <w:rsid w:val="179139C5"/>
    <w:rsid w:val="17941CF3"/>
    <w:rsid w:val="17953714"/>
    <w:rsid w:val="17964008"/>
    <w:rsid w:val="17985CB1"/>
    <w:rsid w:val="17996410"/>
    <w:rsid w:val="179B186C"/>
    <w:rsid w:val="179C0A16"/>
    <w:rsid w:val="179D0D47"/>
    <w:rsid w:val="179E3A27"/>
    <w:rsid w:val="179E6647"/>
    <w:rsid w:val="17A0154D"/>
    <w:rsid w:val="17A06298"/>
    <w:rsid w:val="17A10E21"/>
    <w:rsid w:val="17A11342"/>
    <w:rsid w:val="17A31EB4"/>
    <w:rsid w:val="17A728DB"/>
    <w:rsid w:val="17AA4179"/>
    <w:rsid w:val="17AF1790"/>
    <w:rsid w:val="17B01E78"/>
    <w:rsid w:val="17B049BF"/>
    <w:rsid w:val="17B51135"/>
    <w:rsid w:val="17BE42E1"/>
    <w:rsid w:val="17C00A09"/>
    <w:rsid w:val="17C31B81"/>
    <w:rsid w:val="17C46E7F"/>
    <w:rsid w:val="17C818A3"/>
    <w:rsid w:val="17C9149F"/>
    <w:rsid w:val="17CA0378"/>
    <w:rsid w:val="17CA1E5D"/>
    <w:rsid w:val="17CA4472"/>
    <w:rsid w:val="17CC7A8D"/>
    <w:rsid w:val="17D64035"/>
    <w:rsid w:val="17D90D75"/>
    <w:rsid w:val="17DA48BA"/>
    <w:rsid w:val="17DB3BE1"/>
    <w:rsid w:val="17DC750E"/>
    <w:rsid w:val="17DD7A00"/>
    <w:rsid w:val="17DE4D34"/>
    <w:rsid w:val="17DF2075"/>
    <w:rsid w:val="17E04F02"/>
    <w:rsid w:val="17E24C54"/>
    <w:rsid w:val="17E47432"/>
    <w:rsid w:val="17EC4792"/>
    <w:rsid w:val="17EE4066"/>
    <w:rsid w:val="17F11DA8"/>
    <w:rsid w:val="17F15C45"/>
    <w:rsid w:val="17F1744C"/>
    <w:rsid w:val="17F378CF"/>
    <w:rsid w:val="17F453F5"/>
    <w:rsid w:val="17F841CA"/>
    <w:rsid w:val="17FE430E"/>
    <w:rsid w:val="17FE5226"/>
    <w:rsid w:val="17FE59D9"/>
    <w:rsid w:val="18013FCE"/>
    <w:rsid w:val="18023FB5"/>
    <w:rsid w:val="18040B17"/>
    <w:rsid w:val="18047D2E"/>
    <w:rsid w:val="180B1483"/>
    <w:rsid w:val="180B504D"/>
    <w:rsid w:val="180C17C7"/>
    <w:rsid w:val="180C3B33"/>
    <w:rsid w:val="180F1762"/>
    <w:rsid w:val="18103B44"/>
    <w:rsid w:val="18120637"/>
    <w:rsid w:val="18155A97"/>
    <w:rsid w:val="18176BA1"/>
    <w:rsid w:val="18192A44"/>
    <w:rsid w:val="181A472C"/>
    <w:rsid w:val="181B1D9C"/>
    <w:rsid w:val="181B5077"/>
    <w:rsid w:val="181F0501"/>
    <w:rsid w:val="181F06C4"/>
    <w:rsid w:val="1821268E"/>
    <w:rsid w:val="18234622"/>
    <w:rsid w:val="18267CA4"/>
    <w:rsid w:val="182E6B59"/>
    <w:rsid w:val="182E6C82"/>
    <w:rsid w:val="182F0988"/>
    <w:rsid w:val="18307F51"/>
    <w:rsid w:val="18327D2F"/>
    <w:rsid w:val="18371A04"/>
    <w:rsid w:val="183774FD"/>
    <w:rsid w:val="183C2F82"/>
    <w:rsid w:val="183D4FEE"/>
    <w:rsid w:val="183F172A"/>
    <w:rsid w:val="184211AC"/>
    <w:rsid w:val="1842574D"/>
    <w:rsid w:val="1844012A"/>
    <w:rsid w:val="18454212"/>
    <w:rsid w:val="184719C8"/>
    <w:rsid w:val="18477DE5"/>
    <w:rsid w:val="18493992"/>
    <w:rsid w:val="18493EB7"/>
    <w:rsid w:val="184A6382"/>
    <w:rsid w:val="185017B9"/>
    <w:rsid w:val="185145F5"/>
    <w:rsid w:val="185700FE"/>
    <w:rsid w:val="185E0ADF"/>
    <w:rsid w:val="185F4F64"/>
    <w:rsid w:val="18607F35"/>
    <w:rsid w:val="18611A70"/>
    <w:rsid w:val="18624A54"/>
    <w:rsid w:val="186B6C62"/>
    <w:rsid w:val="186D58D3"/>
    <w:rsid w:val="186E33F9"/>
    <w:rsid w:val="186E6D83"/>
    <w:rsid w:val="186F7AE7"/>
    <w:rsid w:val="187076BA"/>
    <w:rsid w:val="18756535"/>
    <w:rsid w:val="187A3AC2"/>
    <w:rsid w:val="187B3FB7"/>
    <w:rsid w:val="187D7196"/>
    <w:rsid w:val="187F5606"/>
    <w:rsid w:val="187F73B4"/>
    <w:rsid w:val="18860743"/>
    <w:rsid w:val="18874ECB"/>
    <w:rsid w:val="188D1AD1"/>
    <w:rsid w:val="188F55AE"/>
    <w:rsid w:val="189664AC"/>
    <w:rsid w:val="189746FE"/>
    <w:rsid w:val="189D2E2A"/>
    <w:rsid w:val="189E1DF5"/>
    <w:rsid w:val="189F030A"/>
    <w:rsid w:val="189F624C"/>
    <w:rsid w:val="18AD10E5"/>
    <w:rsid w:val="18AD3CC2"/>
    <w:rsid w:val="18AE37F5"/>
    <w:rsid w:val="18B23282"/>
    <w:rsid w:val="18B459E6"/>
    <w:rsid w:val="18B51028"/>
    <w:rsid w:val="18B74DA0"/>
    <w:rsid w:val="18B9040A"/>
    <w:rsid w:val="18BA1FBD"/>
    <w:rsid w:val="18BB0AEE"/>
    <w:rsid w:val="18BD1C8B"/>
    <w:rsid w:val="18BD5F0A"/>
    <w:rsid w:val="18BF5A03"/>
    <w:rsid w:val="18C0707F"/>
    <w:rsid w:val="18C21947"/>
    <w:rsid w:val="18C22284"/>
    <w:rsid w:val="18C3773E"/>
    <w:rsid w:val="18C4126B"/>
    <w:rsid w:val="18C55D7F"/>
    <w:rsid w:val="18C67B60"/>
    <w:rsid w:val="18C80D5B"/>
    <w:rsid w:val="18CA1AA8"/>
    <w:rsid w:val="18CC4B26"/>
    <w:rsid w:val="18D019BE"/>
    <w:rsid w:val="18D27125"/>
    <w:rsid w:val="18D339FB"/>
    <w:rsid w:val="18D56FD4"/>
    <w:rsid w:val="18D616AB"/>
    <w:rsid w:val="18D717DF"/>
    <w:rsid w:val="18DE032F"/>
    <w:rsid w:val="18DE057F"/>
    <w:rsid w:val="18E41D8A"/>
    <w:rsid w:val="18E92A80"/>
    <w:rsid w:val="18ED07C2"/>
    <w:rsid w:val="18ED2570"/>
    <w:rsid w:val="18F338FE"/>
    <w:rsid w:val="18F4137B"/>
    <w:rsid w:val="18F62DD4"/>
    <w:rsid w:val="18F733EE"/>
    <w:rsid w:val="18F90F15"/>
    <w:rsid w:val="18F93D1F"/>
    <w:rsid w:val="190311F4"/>
    <w:rsid w:val="19037FE5"/>
    <w:rsid w:val="1904356C"/>
    <w:rsid w:val="19061883"/>
    <w:rsid w:val="19080F30"/>
    <w:rsid w:val="19096249"/>
    <w:rsid w:val="190C006F"/>
    <w:rsid w:val="190C22BC"/>
    <w:rsid w:val="190C3140"/>
    <w:rsid w:val="19120228"/>
    <w:rsid w:val="19123CB5"/>
    <w:rsid w:val="1915001D"/>
    <w:rsid w:val="19151FFE"/>
    <w:rsid w:val="19195D8A"/>
    <w:rsid w:val="19196148"/>
    <w:rsid w:val="191966BC"/>
    <w:rsid w:val="191B0F2F"/>
    <w:rsid w:val="1921046B"/>
    <w:rsid w:val="19212219"/>
    <w:rsid w:val="1922628C"/>
    <w:rsid w:val="19241D0A"/>
    <w:rsid w:val="19252920"/>
    <w:rsid w:val="19256F1F"/>
    <w:rsid w:val="19263CD4"/>
    <w:rsid w:val="192E1990"/>
    <w:rsid w:val="192F331F"/>
    <w:rsid w:val="19302BBA"/>
    <w:rsid w:val="19304926"/>
    <w:rsid w:val="19341F4D"/>
    <w:rsid w:val="193831F2"/>
    <w:rsid w:val="19383298"/>
    <w:rsid w:val="19391DB9"/>
    <w:rsid w:val="19393A07"/>
    <w:rsid w:val="193957B5"/>
    <w:rsid w:val="193A1417"/>
    <w:rsid w:val="193C2C07"/>
    <w:rsid w:val="193E101D"/>
    <w:rsid w:val="193F21E0"/>
    <w:rsid w:val="194523AC"/>
    <w:rsid w:val="19503625"/>
    <w:rsid w:val="195067C9"/>
    <w:rsid w:val="19517628"/>
    <w:rsid w:val="19535A95"/>
    <w:rsid w:val="19552023"/>
    <w:rsid w:val="19562B7B"/>
    <w:rsid w:val="1956399F"/>
    <w:rsid w:val="1956436C"/>
    <w:rsid w:val="19566367"/>
    <w:rsid w:val="19573904"/>
    <w:rsid w:val="195B3FEC"/>
    <w:rsid w:val="195B432E"/>
    <w:rsid w:val="195C5FF8"/>
    <w:rsid w:val="195E3320"/>
    <w:rsid w:val="195F2D42"/>
    <w:rsid w:val="196071E6"/>
    <w:rsid w:val="196150FC"/>
    <w:rsid w:val="19624D86"/>
    <w:rsid w:val="196463A8"/>
    <w:rsid w:val="19676AD8"/>
    <w:rsid w:val="19680E0E"/>
    <w:rsid w:val="196B14F9"/>
    <w:rsid w:val="196E721D"/>
    <w:rsid w:val="1976303C"/>
    <w:rsid w:val="19770B34"/>
    <w:rsid w:val="197762DD"/>
    <w:rsid w:val="197E2DF3"/>
    <w:rsid w:val="197F7179"/>
    <w:rsid w:val="19802EEB"/>
    <w:rsid w:val="198207A2"/>
    <w:rsid w:val="19832ED4"/>
    <w:rsid w:val="19862141"/>
    <w:rsid w:val="1987225B"/>
    <w:rsid w:val="19876BAC"/>
    <w:rsid w:val="1988673C"/>
    <w:rsid w:val="19894A3A"/>
    <w:rsid w:val="19897DD1"/>
    <w:rsid w:val="198A06C6"/>
    <w:rsid w:val="198B2132"/>
    <w:rsid w:val="198D0C0C"/>
    <w:rsid w:val="198D5B01"/>
    <w:rsid w:val="198F25E0"/>
    <w:rsid w:val="1991432B"/>
    <w:rsid w:val="19921369"/>
    <w:rsid w:val="199347D1"/>
    <w:rsid w:val="1997072D"/>
    <w:rsid w:val="199A3C4D"/>
    <w:rsid w:val="199C1336"/>
    <w:rsid w:val="199C3C1B"/>
    <w:rsid w:val="199E7D0E"/>
    <w:rsid w:val="19A2089A"/>
    <w:rsid w:val="19A336D5"/>
    <w:rsid w:val="19A35324"/>
    <w:rsid w:val="19A81E75"/>
    <w:rsid w:val="19AB1BA2"/>
    <w:rsid w:val="19AD7C66"/>
    <w:rsid w:val="19AE61A3"/>
    <w:rsid w:val="19AF6F67"/>
    <w:rsid w:val="19B17AF7"/>
    <w:rsid w:val="19B50F19"/>
    <w:rsid w:val="19B57A98"/>
    <w:rsid w:val="19BA4462"/>
    <w:rsid w:val="19BD0194"/>
    <w:rsid w:val="19C02502"/>
    <w:rsid w:val="19C166C2"/>
    <w:rsid w:val="19C22D80"/>
    <w:rsid w:val="19C34445"/>
    <w:rsid w:val="19C62765"/>
    <w:rsid w:val="19C72DC1"/>
    <w:rsid w:val="19C83306"/>
    <w:rsid w:val="19C93041"/>
    <w:rsid w:val="19CC0306"/>
    <w:rsid w:val="19CD213B"/>
    <w:rsid w:val="19CD414F"/>
    <w:rsid w:val="19CD616B"/>
    <w:rsid w:val="19CE5AF8"/>
    <w:rsid w:val="19CF415B"/>
    <w:rsid w:val="19D06DBD"/>
    <w:rsid w:val="19D24E9B"/>
    <w:rsid w:val="19D83220"/>
    <w:rsid w:val="19DC7191"/>
    <w:rsid w:val="19E219A9"/>
    <w:rsid w:val="19E27BFB"/>
    <w:rsid w:val="19E33973"/>
    <w:rsid w:val="19E73463"/>
    <w:rsid w:val="19E77A3D"/>
    <w:rsid w:val="19EE738C"/>
    <w:rsid w:val="19F37465"/>
    <w:rsid w:val="19F4467A"/>
    <w:rsid w:val="19F63EC0"/>
    <w:rsid w:val="19F649D6"/>
    <w:rsid w:val="19FA13E8"/>
    <w:rsid w:val="19FA418F"/>
    <w:rsid w:val="19FC777F"/>
    <w:rsid w:val="19FD1F7A"/>
    <w:rsid w:val="19FE07AD"/>
    <w:rsid w:val="19FE1CFD"/>
    <w:rsid w:val="19FF27AB"/>
    <w:rsid w:val="19FF69FF"/>
    <w:rsid w:val="1A0062D3"/>
    <w:rsid w:val="1A015FF9"/>
    <w:rsid w:val="1A064D1E"/>
    <w:rsid w:val="1A0933D9"/>
    <w:rsid w:val="1A0A1C49"/>
    <w:rsid w:val="1A0A53A3"/>
    <w:rsid w:val="1A0A7151"/>
    <w:rsid w:val="1A0B6A6E"/>
    <w:rsid w:val="1A0C111B"/>
    <w:rsid w:val="1A0C6AF7"/>
    <w:rsid w:val="1A0D279E"/>
    <w:rsid w:val="1A0F3AA5"/>
    <w:rsid w:val="1A104F21"/>
    <w:rsid w:val="1A113220"/>
    <w:rsid w:val="1A113A55"/>
    <w:rsid w:val="1A1365F9"/>
    <w:rsid w:val="1A143B2C"/>
    <w:rsid w:val="1A166617"/>
    <w:rsid w:val="1A1945C7"/>
    <w:rsid w:val="1A195710"/>
    <w:rsid w:val="1A1A691E"/>
    <w:rsid w:val="1A1B1A5A"/>
    <w:rsid w:val="1A1C66C0"/>
    <w:rsid w:val="1A1D5480"/>
    <w:rsid w:val="1A253F8B"/>
    <w:rsid w:val="1A255D39"/>
    <w:rsid w:val="1A295829"/>
    <w:rsid w:val="1A2A60BE"/>
    <w:rsid w:val="1A3109BD"/>
    <w:rsid w:val="1A312930"/>
    <w:rsid w:val="1A316A1D"/>
    <w:rsid w:val="1A316D1B"/>
    <w:rsid w:val="1A321524"/>
    <w:rsid w:val="1A36525A"/>
    <w:rsid w:val="1A396C20"/>
    <w:rsid w:val="1A3A17E5"/>
    <w:rsid w:val="1A3B46AC"/>
    <w:rsid w:val="1A3D3083"/>
    <w:rsid w:val="1A3D3CA6"/>
    <w:rsid w:val="1A3E1F4E"/>
    <w:rsid w:val="1A402B73"/>
    <w:rsid w:val="1A40645E"/>
    <w:rsid w:val="1A417187"/>
    <w:rsid w:val="1A42393B"/>
    <w:rsid w:val="1A442663"/>
    <w:rsid w:val="1A45145E"/>
    <w:rsid w:val="1A491A28"/>
    <w:rsid w:val="1A4A6561"/>
    <w:rsid w:val="1A4C1518"/>
    <w:rsid w:val="1A4F060D"/>
    <w:rsid w:val="1A4F2DB6"/>
    <w:rsid w:val="1A543A81"/>
    <w:rsid w:val="1A593472"/>
    <w:rsid w:val="1A5B2521"/>
    <w:rsid w:val="1A5D54D3"/>
    <w:rsid w:val="1A6166F0"/>
    <w:rsid w:val="1A644AB4"/>
    <w:rsid w:val="1A646862"/>
    <w:rsid w:val="1A686637"/>
    <w:rsid w:val="1A6B1606"/>
    <w:rsid w:val="1A6E5932"/>
    <w:rsid w:val="1A700BF7"/>
    <w:rsid w:val="1A70799A"/>
    <w:rsid w:val="1A744390"/>
    <w:rsid w:val="1A745273"/>
    <w:rsid w:val="1A7A179F"/>
    <w:rsid w:val="1A7A42D7"/>
    <w:rsid w:val="1A7B0346"/>
    <w:rsid w:val="1A7B1DFD"/>
    <w:rsid w:val="1A7D01AE"/>
    <w:rsid w:val="1A7F73F9"/>
    <w:rsid w:val="1A81091F"/>
    <w:rsid w:val="1A840CB2"/>
    <w:rsid w:val="1A87001F"/>
    <w:rsid w:val="1A873322"/>
    <w:rsid w:val="1A8A3A2F"/>
    <w:rsid w:val="1A8C252E"/>
    <w:rsid w:val="1A8D20F8"/>
    <w:rsid w:val="1A8E38DF"/>
    <w:rsid w:val="1A97649B"/>
    <w:rsid w:val="1A991D03"/>
    <w:rsid w:val="1A9975F3"/>
    <w:rsid w:val="1A9C54DE"/>
    <w:rsid w:val="1A9D5F5E"/>
    <w:rsid w:val="1A9F789A"/>
    <w:rsid w:val="1AA028B9"/>
    <w:rsid w:val="1AA64520"/>
    <w:rsid w:val="1AA80E44"/>
    <w:rsid w:val="1AAD31F1"/>
    <w:rsid w:val="1AAD45DE"/>
    <w:rsid w:val="1AB40CF0"/>
    <w:rsid w:val="1AB60240"/>
    <w:rsid w:val="1AB71087"/>
    <w:rsid w:val="1AB8095B"/>
    <w:rsid w:val="1ABA7AE4"/>
    <w:rsid w:val="1AC55B2E"/>
    <w:rsid w:val="1AC62272"/>
    <w:rsid w:val="1AC76DF0"/>
    <w:rsid w:val="1AC96460"/>
    <w:rsid w:val="1ACB068F"/>
    <w:rsid w:val="1ACD4826"/>
    <w:rsid w:val="1ACE17A6"/>
    <w:rsid w:val="1AD10F75"/>
    <w:rsid w:val="1AD11A1D"/>
    <w:rsid w:val="1AD15C67"/>
    <w:rsid w:val="1AD351BF"/>
    <w:rsid w:val="1AD35795"/>
    <w:rsid w:val="1AD44204"/>
    <w:rsid w:val="1AD53A36"/>
    <w:rsid w:val="1AD559B1"/>
    <w:rsid w:val="1AD5775F"/>
    <w:rsid w:val="1AD67034"/>
    <w:rsid w:val="1AD732AE"/>
    <w:rsid w:val="1AD81E0F"/>
    <w:rsid w:val="1AD858F8"/>
    <w:rsid w:val="1AE035E4"/>
    <w:rsid w:val="1AE04614"/>
    <w:rsid w:val="1AE14356"/>
    <w:rsid w:val="1AED1379"/>
    <w:rsid w:val="1AEE4250"/>
    <w:rsid w:val="1AEE73D5"/>
    <w:rsid w:val="1AF079B3"/>
    <w:rsid w:val="1AF44089"/>
    <w:rsid w:val="1AF74153"/>
    <w:rsid w:val="1AF75928"/>
    <w:rsid w:val="1AF80434"/>
    <w:rsid w:val="1AFA0F74"/>
    <w:rsid w:val="1AFC2F3E"/>
    <w:rsid w:val="1AFC77F5"/>
    <w:rsid w:val="1AFF47DC"/>
    <w:rsid w:val="1B0167A6"/>
    <w:rsid w:val="1B041DF3"/>
    <w:rsid w:val="1B046F80"/>
    <w:rsid w:val="1B067E27"/>
    <w:rsid w:val="1B087B35"/>
    <w:rsid w:val="1B096324"/>
    <w:rsid w:val="1B0B13D3"/>
    <w:rsid w:val="1B1213EA"/>
    <w:rsid w:val="1B1262F6"/>
    <w:rsid w:val="1B1464DA"/>
    <w:rsid w:val="1B146ACD"/>
    <w:rsid w:val="1B15104F"/>
    <w:rsid w:val="1B16731D"/>
    <w:rsid w:val="1B171B26"/>
    <w:rsid w:val="1B1813AC"/>
    <w:rsid w:val="1B1E6C7F"/>
    <w:rsid w:val="1B1F254C"/>
    <w:rsid w:val="1B1F3BFD"/>
    <w:rsid w:val="1B206788"/>
    <w:rsid w:val="1B214753"/>
    <w:rsid w:val="1B2163A0"/>
    <w:rsid w:val="1B2213F6"/>
    <w:rsid w:val="1B245FF1"/>
    <w:rsid w:val="1B2776CD"/>
    <w:rsid w:val="1B293607"/>
    <w:rsid w:val="1B2D6D86"/>
    <w:rsid w:val="1B313358"/>
    <w:rsid w:val="1B3267B5"/>
    <w:rsid w:val="1B342525"/>
    <w:rsid w:val="1B3501FE"/>
    <w:rsid w:val="1B375BAA"/>
    <w:rsid w:val="1B375D24"/>
    <w:rsid w:val="1B393EFF"/>
    <w:rsid w:val="1B3C333B"/>
    <w:rsid w:val="1B3E1913"/>
    <w:rsid w:val="1B3F680B"/>
    <w:rsid w:val="1B40161D"/>
    <w:rsid w:val="1B43576A"/>
    <w:rsid w:val="1B441859"/>
    <w:rsid w:val="1B4A6BAB"/>
    <w:rsid w:val="1B4C36EE"/>
    <w:rsid w:val="1B506361"/>
    <w:rsid w:val="1B5219CC"/>
    <w:rsid w:val="1B5249B1"/>
    <w:rsid w:val="1B540E52"/>
    <w:rsid w:val="1B5508A0"/>
    <w:rsid w:val="1B570136"/>
    <w:rsid w:val="1B570174"/>
    <w:rsid w:val="1B5808CA"/>
    <w:rsid w:val="1B587EA4"/>
    <w:rsid w:val="1B5A7C65"/>
    <w:rsid w:val="1B616581"/>
    <w:rsid w:val="1B632FBD"/>
    <w:rsid w:val="1B64390A"/>
    <w:rsid w:val="1B647E6A"/>
    <w:rsid w:val="1B65622C"/>
    <w:rsid w:val="1B6606B1"/>
    <w:rsid w:val="1B6A60FA"/>
    <w:rsid w:val="1B6D5BEA"/>
    <w:rsid w:val="1B700E0E"/>
    <w:rsid w:val="1B706DAC"/>
    <w:rsid w:val="1B7162DC"/>
    <w:rsid w:val="1B782CB4"/>
    <w:rsid w:val="1B792237"/>
    <w:rsid w:val="1B797672"/>
    <w:rsid w:val="1B7C36FA"/>
    <w:rsid w:val="1B7C7BDB"/>
    <w:rsid w:val="1B822562"/>
    <w:rsid w:val="1B830F69"/>
    <w:rsid w:val="1B8371BB"/>
    <w:rsid w:val="1B87029B"/>
    <w:rsid w:val="1B8F791D"/>
    <w:rsid w:val="1B940DEA"/>
    <w:rsid w:val="1B9565E0"/>
    <w:rsid w:val="1B965141"/>
    <w:rsid w:val="1B975C03"/>
    <w:rsid w:val="1B9969DF"/>
    <w:rsid w:val="1B9A0E26"/>
    <w:rsid w:val="1B9C14FB"/>
    <w:rsid w:val="1B9E2247"/>
    <w:rsid w:val="1B9E5DA3"/>
    <w:rsid w:val="1BA30EC6"/>
    <w:rsid w:val="1BA5624C"/>
    <w:rsid w:val="1BA64C58"/>
    <w:rsid w:val="1BA8044C"/>
    <w:rsid w:val="1BA85902"/>
    <w:rsid w:val="1BAF7FB0"/>
    <w:rsid w:val="1BB06521"/>
    <w:rsid w:val="1BB13D28"/>
    <w:rsid w:val="1BB235FD"/>
    <w:rsid w:val="1BB4134A"/>
    <w:rsid w:val="1BC02FCD"/>
    <w:rsid w:val="1BC16D0E"/>
    <w:rsid w:val="1BC3580A"/>
    <w:rsid w:val="1BC432EE"/>
    <w:rsid w:val="1BC73EE1"/>
    <w:rsid w:val="1BCD3CE1"/>
    <w:rsid w:val="1BD05362"/>
    <w:rsid w:val="1BD67FA5"/>
    <w:rsid w:val="1BD9502D"/>
    <w:rsid w:val="1BDD455B"/>
    <w:rsid w:val="1BDE0896"/>
    <w:rsid w:val="1BDE7917"/>
    <w:rsid w:val="1BDF066A"/>
    <w:rsid w:val="1BE10324"/>
    <w:rsid w:val="1BE1581B"/>
    <w:rsid w:val="1BE348F4"/>
    <w:rsid w:val="1BE51C24"/>
    <w:rsid w:val="1BE539D2"/>
    <w:rsid w:val="1BE844F0"/>
    <w:rsid w:val="1BEB0238"/>
    <w:rsid w:val="1BEB19FE"/>
    <w:rsid w:val="1BEB397D"/>
    <w:rsid w:val="1BEC2FB3"/>
    <w:rsid w:val="1BEF4A86"/>
    <w:rsid w:val="1BF15616"/>
    <w:rsid w:val="1BF23F35"/>
    <w:rsid w:val="1BF27E9D"/>
    <w:rsid w:val="1BF31C45"/>
    <w:rsid w:val="1BF34DB3"/>
    <w:rsid w:val="1BF52BBB"/>
    <w:rsid w:val="1BF60647"/>
    <w:rsid w:val="1BF754B3"/>
    <w:rsid w:val="1BF807B0"/>
    <w:rsid w:val="1BF82317"/>
    <w:rsid w:val="1BFC0F69"/>
    <w:rsid w:val="1BFD0BFF"/>
    <w:rsid w:val="1C002CEE"/>
    <w:rsid w:val="1C006A5E"/>
    <w:rsid w:val="1C007CFB"/>
    <w:rsid w:val="1C0471DC"/>
    <w:rsid w:val="1C050F51"/>
    <w:rsid w:val="1C063E01"/>
    <w:rsid w:val="1C0700F5"/>
    <w:rsid w:val="1C1564CD"/>
    <w:rsid w:val="1C1716A6"/>
    <w:rsid w:val="1C182959"/>
    <w:rsid w:val="1C183DA8"/>
    <w:rsid w:val="1C185B56"/>
    <w:rsid w:val="1C1B3898"/>
    <w:rsid w:val="1C202C5C"/>
    <w:rsid w:val="1C246A56"/>
    <w:rsid w:val="1C26254D"/>
    <w:rsid w:val="1C2765FB"/>
    <w:rsid w:val="1C284952"/>
    <w:rsid w:val="1C29225D"/>
    <w:rsid w:val="1C2E27A4"/>
    <w:rsid w:val="1C311C5D"/>
    <w:rsid w:val="1C330B6E"/>
    <w:rsid w:val="1C344575"/>
    <w:rsid w:val="1C3510B6"/>
    <w:rsid w:val="1C35495A"/>
    <w:rsid w:val="1C3A1F70"/>
    <w:rsid w:val="1C3B71E2"/>
    <w:rsid w:val="1C3F3368"/>
    <w:rsid w:val="1C4177DA"/>
    <w:rsid w:val="1C45352C"/>
    <w:rsid w:val="1C4546EB"/>
    <w:rsid w:val="1C460B0A"/>
    <w:rsid w:val="1C472C25"/>
    <w:rsid w:val="1C47468D"/>
    <w:rsid w:val="1C4F45A4"/>
    <w:rsid w:val="1C4F7C10"/>
    <w:rsid w:val="1C534F2C"/>
    <w:rsid w:val="1C540AD8"/>
    <w:rsid w:val="1C572A3F"/>
    <w:rsid w:val="1C575282"/>
    <w:rsid w:val="1C59115B"/>
    <w:rsid w:val="1C591415"/>
    <w:rsid w:val="1C59248A"/>
    <w:rsid w:val="1C593E4B"/>
    <w:rsid w:val="1C5A616E"/>
    <w:rsid w:val="1C5C697D"/>
    <w:rsid w:val="1C5E0518"/>
    <w:rsid w:val="1C5E3883"/>
    <w:rsid w:val="1C5E7925"/>
    <w:rsid w:val="1C6074FD"/>
    <w:rsid w:val="1C622939"/>
    <w:rsid w:val="1C623D0B"/>
    <w:rsid w:val="1C632623"/>
    <w:rsid w:val="1C64512E"/>
    <w:rsid w:val="1C65143D"/>
    <w:rsid w:val="1C6643E6"/>
    <w:rsid w:val="1C681ABC"/>
    <w:rsid w:val="1C691761"/>
    <w:rsid w:val="1C6C5EA1"/>
    <w:rsid w:val="1C6D6D45"/>
    <w:rsid w:val="1C6F5EE1"/>
    <w:rsid w:val="1C745A1E"/>
    <w:rsid w:val="1C7877ED"/>
    <w:rsid w:val="1C7B398A"/>
    <w:rsid w:val="1C7B5F64"/>
    <w:rsid w:val="1C7B60E4"/>
    <w:rsid w:val="1C7C619A"/>
    <w:rsid w:val="1C82395E"/>
    <w:rsid w:val="1C845789"/>
    <w:rsid w:val="1C8651B5"/>
    <w:rsid w:val="1C8A5047"/>
    <w:rsid w:val="1C8B249F"/>
    <w:rsid w:val="1C8B457A"/>
    <w:rsid w:val="1C8C3C7E"/>
    <w:rsid w:val="1C8D3846"/>
    <w:rsid w:val="1C9378D2"/>
    <w:rsid w:val="1C95352C"/>
    <w:rsid w:val="1C986C96"/>
    <w:rsid w:val="1C9A2A0F"/>
    <w:rsid w:val="1C9A47BD"/>
    <w:rsid w:val="1C9B0535"/>
    <w:rsid w:val="1C9D24FF"/>
    <w:rsid w:val="1C9E7D16"/>
    <w:rsid w:val="1C9F568C"/>
    <w:rsid w:val="1C9F6277"/>
    <w:rsid w:val="1CA00997"/>
    <w:rsid w:val="1CA20C60"/>
    <w:rsid w:val="1CA40C0C"/>
    <w:rsid w:val="1CA51364"/>
    <w:rsid w:val="1CA664A6"/>
    <w:rsid w:val="1CA91338"/>
    <w:rsid w:val="1CAC31A1"/>
    <w:rsid w:val="1CAD0994"/>
    <w:rsid w:val="1CAE64BA"/>
    <w:rsid w:val="1CB05D8E"/>
    <w:rsid w:val="1CB22D3B"/>
    <w:rsid w:val="1CB35548"/>
    <w:rsid w:val="1CB51673"/>
    <w:rsid w:val="1CB64253"/>
    <w:rsid w:val="1CB86846"/>
    <w:rsid w:val="1CB976B1"/>
    <w:rsid w:val="1CBB4733"/>
    <w:rsid w:val="1CBB5882"/>
    <w:rsid w:val="1CBC5FDD"/>
    <w:rsid w:val="1CBD7B89"/>
    <w:rsid w:val="1CBF7C58"/>
    <w:rsid w:val="1CC24A1A"/>
    <w:rsid w:val="1CC45CDD"/>
    <w:rsid w:val="1CC71F74"/>
    <w:rsid w:val="1CC931B5"/>
    <w:rsid w:val="1CD267C8"/>
    <w:rsid w:val="1CDA105D"/>
    <w:rsid w:val="1CDA1F83"/>
    <w:rsid w:val="1CDC2986"/>
    <w:rsid w:val="1CDC3027"/>
    <w:rsid w:val="1CDE1206"/>
    <w:rsid w:val="1CDF48C5"/>
    <w:rsid w:val="1CDF6673"/>
    <w:rsid w:val="1CE1063D"/>
    <w:rsid w:val="1CE23C2D"/>
    <w:rsid w:val="1CE316F3"/>
    <w:rsid w:val="1CE41A63"/>
    <w:rsid w:val="1CE43C8A"/>
    <w:rsid w:val="1CE76E87"/>
    <w:rsid w:val="1CE819CC"/>
    <w:rsid w:val="1CEB326A"/>
    <w:rsid w:val="1CEB53BA"/>
    <w:rsid w:val="1CEC46AE"/>
    <w:rsid w:val="1CEE2F7C"/>
    <w:rsid w:val="1CF163A7"/>
    <w:rsid w:val="1CF27448"/>
    <w:rsid w:val="1CF41996"/>
    <w:rsid w:val="1CFA16FF"/>
    <w:rsid w:val="1CFB3913"/>
    <w:rsid w:val="1CFC3D74"/>
    <w:rsid w:val="1CFC59F9"/>
    <w:rsid w:val="1CFD070F"/>
    <w:rsid w:val="1CFD0F76"/>
    <w:rsid w:val="1CFF0AC4"/>
    <w:rsid w:val="1D0807F2"/>
    <w:rsid w:val="1D085CBC"/>
    <w:rsid w:val="1D086449"/>
    <w:rsid w:val="1D0A2916"/>
    <w:rsid w:val="1D0B56BA"/>
    <w:rsid w:val="1D0C44B0"/>
    <w:rsid w:val="1D0E22F1"/>
    <w:rsid w:val="1D181B85"/>
    <w:rsid w:val="1D1F765C"/>
    <w:rsid w:val="1D232A04"/>
    <w:rsid w:val="1D24052A"/>
    <w:rsid w:val="1D2642A2"/>
    <w:rsid w:val="1D267E8D"/>
    <w:rsid w:val="1D297925"/>
    <w:rsid w:val="1D2A3CAE"/>
    <w:rsid w:val="1D2A5308"/>
    <w:rsid w:val="1D302CBB"/>
    <w:rsid w:val="1D303B0F"/>
    <w:rsid w:val="1D306ECF"/>
    <w:rsid w:val="1D314436"/>
    <w:rsid w:val="1D322C47"/>
    <w:rsid w:val="1D333BAD"/>
    <w:rsid w:val="1D341815"/>
    <w:rsid w:val="1D3910DC"/>
    <w:rsid w:val="1D3C4079"/>
    <w:rsid w:val="1D3D2253"/>
    <w:rsid w:val="1D3E6E78"/>
    <w:rsid w:val="1D3F5615"/>
    <w:rsid w:val="1D413C15"/>
    <w:rsid w:val="1D42094F"/>
    <w:rsid w:val="1D4A7C0F"/>
    <w:rsid w:val="1D4D7A81"/>
    <w:rsid w:val="1D4E55EC"/>
    <w:rsid w:val="1D4F7219"/>
    <w:rsid w:val="1D504F6D"/>
    <w:rsid w:val="1D5243B9"/>
    <w:rsid w:val="1D5A487A"/>
    <w:rsid w:val="1D5A6A02"/>
    <w:rsid w:val="1D5B0726"/>
    <w:rsid w:val="1D5D0631"/>
    <w:rsid w:val="1D5F1562"/>
    <w:rsid w:val="1D5F6196"/>
    <w:rsid w:val="1D601902"/>
    <w:rsid w:val="1D6132A5"/>
    <w:rsid w:val="1D614197"/>
    <w:rsid w:val="1D633229"/>
    <w:rsid w:val="1D647432"/>
    <w:rsid w:val="1D6712F8"/>
    <w:rsid w:val="1D685B15"/>
    <w:rsid w:val="1D6977AD"/>
    <w:rsid w:val="1D6A6066"/>
    <w:rsid w:val="1D6B7F07"/>
    <w:rsid w:val="1D6C48F6"/>
    <w:rsid w:val="1D6E71DE"/>
    <w:rsid w:val="1D6F3E9B"/>
    <w:rsid w:val="1D705E32"/>
    <w:rsid w:val="1D7141FA"/>
    <w:rsid w:val="1D7416EB"/>
    <w:rsid w:val="1D7541C5"/>
    <w:rsid w:val="1D7564E2"/>
    <w:rsid w:val="1D772D50"/>
    <w:rsid w:val="1D7F13CF"/>
    <w:rsid w:val="1D806E09"/>
    <w:rsid w:val="1D824D77"/>
    <w:rsid w:val="1D84103D"/>
    <w:rsid w:val="1D8439B7"/>
    <w:rsid w:val="1D852670"/>
    <w:rsid w:val="1D857435"/>
    <w:rsid w:val="1D861332"/>
    <w:rsid w:val="1D864E03"/>
    <w:rsid w:val="1D8A04DD"/>
    <w:rsid w:val="1D8A4831"/>
    <w:rsid w:val="1D8D2573"/>
    <w:rsid w:val="1D8E56D5"/>
    <w:rsid w:val="1D900E36"/>
    <w:rsid w:val="1D923779"/>
    <w:rsid w:val="1D927B8A"/>
    <w:rsid w:val="1D951428"/>
    <w:rsid w:val="1D966844"/>
    <w:rsid w:val="1D9741F0"/>
    <w:rsid w:val="1D976F4E"/>
    <w:rsid w:val="1D9B6A3E"/>
    <w:rsid w:val="1D9C4564"/>
    <w:rsid w:val="1D9E3123"/>
    <w:rsid w:val="1D9F104A"/>
    <w:rsid w:val="1DA064F2"/>
    <w:rsid w:val="1DA319CF"/>
    <w:rsid w:val="1DA42512"/>
    <w:rsid w:val="1DA5166B"/>
    <w:rsid w:val="1DAB5D59"/>
    <w:rsid w:val="1DAD344E"/>
    <w:rsid w:val="1DAD6FA0"/>
    <w:rsid w:val="1DAF24EA"/>
    <w:rsid w:val="1DB4365C"/>
    <w:rsid w:val="1DB47B00"/>
    <w:rsid w:val="1DB513EF"/>
    <w:rsid w:val="1DB5160B"/>
    <w:rsid w:val="1DB543EE"/>
    <w:rsid w:val="1DB75100"/>
    <w:rsid w:val="1DB92153"/>
    <w:rsid w:val="1DBA2922"/>
    <w:rsid w:val="1DBC74E6"/>
    <w:rsid w:val="1DBF3136"/>
    <w:rsid w:val="1DBF75E2"/>
    <w:rsid w:val="1DC1590B"/>
    <w:rsid w:val="1DC43C2E"/>
    <w:rsid w:val="1DC50F6C"/>
    <w:rsid w:val="1DC75DE7"/>
    <w:rsid w:val="1DCB50F8"/>
    <w:rsid w:val="1DCD141E"/>
    <w:rsid w:val="1DCF5BB5"/>
    <w:rsid w:val="1DD413C7"/>
    <w:rsid w:val="1DD626F5"/>
    <w:rsid w:val="1DD66886"/>
    <w:rsid w:val="1DD737EE"/>
    <w:rsid w:val="1DD7426F"/>
    <w:rsid w:val="1DD7559C"/>
    <w:rsid w:val="1DD77B68"/>
    <w:rsid w:val="1DDD039F"/>
    <w:rsid w:val="1DE22BFD"/>
    <w:rsid w:val="1DE33F41"/>
    <w:rsid w:val="1DE72A50"/>
    <w:rsid w:val="1DE9355C"/>
    <w:rsid w:val="1DEA0062"/>
    <w:rsid w:val="1DEC54EC"/>
    <w:rsid w:val="1DEF5ED7"/>
    <w:rsid w:val="1DF20628"/>
    <w:rsid w:val="1DF223D6"/>
    <w:rsid w:val="1DF36BBF"/>
    <w:rsid w:val="1DF510EF"/>
    <w:rsid w:val="1DF60CD6"/>
    <w:rsid w:val="1DF83E91"/>
    <w:rsid w:val="1DF93C10"/>
    <w:rsid w:val="1DFF087C"/>
    <w:rsid w:val="1E0035AB"/>
    <w:rsid w:val="1E003865"/>
    <w:rsid w:val="1E0068A1"/>
    <w:rsid w:val="1E02259B"/>
    <w:rsid w:val="1E025DC9"/>
    <w:rsid w:val="1E0433AB"/>
    <w:rsid w:val="1E0518B3"/>
    <w:rsid w:val="1E067C30"/>
    <w:rsid w:val="1E0778B6"/>
    <w:rsid w:val="1E0C16EA"/>
    <w:rsid w:val="1E0D5462"/>
    <w:rsid w:val="1E0E10FA"/>
    <w:rsid w:val="1E1118FC"/>
    <w:rsid w:val="1E122A78"/>
    <w:rsid w:val="1E125D20"/>
    <w:rsid w:val="1E171BAF"/>
    <w:rsid w:val="1E1B36DB"/>
    <w:rsid w:val="1E1F631F"/>
    <w:rsid w:val="1E260618"/>
    <w:rsid w:val="1E273C9A"/>
    <w:rsid w:val="1E276524"/>
    <w:rsid w:val="1E2879D4"/>
    <w:rsid w:val="1E294D73"/>
    <w:rsid w:val="1E2A1B70"/>
    <w:rsid w:val="1E2B2633"/>
    <w:rsid w:val="1E2D340E"/>
    <w:rsid w:val="1E31712F"/>
    <w:rsid w:val="1E325443"/>
    <w:rsid w:val="1E3415CF"/>
    <w:rsid w:val="1E3429EF"/>
    <w:rsid w:val="1E365A33"/>
    <w:rsid w:val="1E3D314A"/>
    <w:rsid w:val="1E3E59AA"/>
    <w:rsid w:val="1E3E73CA"/>
    <w:rsid w:val="1E405A74"/>
    <w:rsid w:val="1E407A47"/>
    <w:rsid w:val="1E432715"/>
    <w:rsid w:val="1E4569AA"/>
    <w:rsid w:val="1E497CB2"/>
    <w:rsid w:val="1E4A5D6E"/>
    <w:rsid w:val="1E4D2572"/>
    <w:rsid w:val="1E4D39ED"/>
    <w:rsid w:val="1E4F5A7B"/>
    <w:rsid w:val="1E4F7FCD"/>
    <w:rsid w:val="1E527A64"/>
    <w:rsid w:val="1E5912AB"/>
    <w:rsid w:val="1E59219B"/>
    <w:rsid w:val="1E5A6A96"/>
    <w:rsid w:val="1E5D4E40"/>
    <w:rsid w:val="1E5E7A6C"/>
    <w:rsid w:val="1E5F3A00"/>
    <w:rsid w:val="1E6257AE"/>
    <w:rsid w:val="1E627878"/>
    <w:rsid w:val="1E634270"/>
    <w:rsid w:val="1E69544E"/>
    <w:rsid w:val="1E695FED"/>
    <w:rsid w:val="1E6B6C6C"/>
    <w:rsid w:val="1E6C2189"/>
    <w:rsid w:val="1E6C5656"/>
    <w:rsid w:val="1E6E4153"/>
    <w:rsid w:val="1E6E5963"/>
    <w:rsid w:val="1E7352C5"/>
    <w:rsid w:val="1E740F2A"/>
    <w:rsid w:val="1E746E85"/>
    <w:rsid w:val="1E7A43DA"/>
    <w:rsid w:val="1E7B1E11"/>
    <w:rsid w:val="1E7C50A2"/>
    <w:rsid w:val="1E7D0D2D"/>
    <w:rsid w:val="1E7D1111"/>
    <w:rsid w:val="1E7D2395"/>
    <w:rsid w:val="1E7D4396"/>
    <w:rsid w:val="1E7D4409"/>
    <w:rsid w:val="1E803E86"/>
    <w:rsid w:val="1E81251D"/>
    <w:rsid w:val="1E872B74"/>
    <w:rsid w:val="1E8A0861"/>
    <w:rsid w:val="1E8A6AB3"/>
    <w:rsid w:val="1E8F6E15"/>
    <w:rsid w:val="1E927E99"/>
    <w:rsid w:val="1E9431C0"/>
    <w:rsid w:val="1E9447DF"/>
    <w:rsid w:val="1E945BBA"/>
    <w:rsid w:val="1E953296"/>
    <w:rsid w:val="1E957931"/>
    <w:rsid w:val="1E967206"/>
    <w:rsid w:val="1E99163B"/>
    <w:rsid w:val="1E9A36F2"/>
    <w:rsid w:val="1E9B481C"/>
    <w:rsid w:val="1E9D3819"/>
    <w:rsid w:val="1E9D67E6"/>
    <w:rsid w:val="1EA056DC"/>
    <w:rsid w:val="1EA15ED6"/>
    <w:rsid w:val="1EA27958"/>
    <w:rsid w:val="1EA66F3F"/>
    <w:rsid w:val="1EA77665"/>
    <w:rsid w:val="1EA8622D"/>
    <w:rsid w:val="1EA96424"/>
    <w:rsid w:val="1EA96F39"/>
    <w:rsid w:val="1EAA4A5F"/>
    <w:rsid w:val="1EAB3BB5"/>
    <w:rsid w:val="1EAB5F10"/>
    <w:rsid w:val="1EAD47A7"/>
    <w:rsid w:val="1EB17A4A"/>
    <w:rsid w:val="1EB236D4"/>
    <w:rsid w:val="1EB31B66"/>
    <w:rsid w:val="1EB32A9F"/>
    <w:rsid w:val="1EB678A8"/>
    <w:rsid w:val="1EBA722E"/>
    <w:rsid w:val="1EBB0A1A"/>
    <w:rsid w:val="1EBC4A4C"/>
    <w:rsid w:val="1EBD4792"/>
    <w:rsid w:val="1EC274F0"/>
    <w:rsid w:val="1EC61CE4"/>
    <w:rsid w:val="1ECC7345"/>
    <w:rsid w:val="1ED0096A"/>
    <w:rsid w:val="1ED20784"/>
    <w:rsid w:val="1ED3045A"/>
    <w:rsid w:val="1ED32208"/>
    <w:rsid w:val="1ED33FB6"/>
    <w:rsid w:val="1ED57D2E"/>
    <w:rsid w:val="1ED83109"/>
    <w:rsid w:val="1EDE00FA"/>
    <w:rsid w:val="1EDF08E2"/>
    <w:rsid w:val="1EE00A04"/>
    <w:rsid w:val="1EE73F05"/>
    <w:rsid w:val="1EEB275D"/>
    <w:rsid w:val="1EEB57A3"/>
    <w:rsid w:val="1EF02DBA"/>
    <w:rsid w:val="1EF328AA"/>
    <w:rsid w:val="1EF820EC"/>
    <w:rsid w:val="1EFB711A"/>
    <w:rsid w:val="1EFD78EB"/>
    <w:rsid w:val="1EFF5DAD"/>
    <w:rsid w:val="1F012F7D"/>
    <w:rsid w:val="1F016DC3"/>
    <w:rsid w:val="1F035824"/>
    <w:rsid w:val="1F0372C4"/>
    <w:rsid w:val="1F0434F2"/>
    <w:rsid w:val="1F0C571A"/>
    <w:rsid w:val="1F0E7107"/>
    <w:rsid w:val="1F130856"/>
    <w:rsid w:val="1F131122"/>
    <w:rsid w:val="1F1579CC"/>
    <w:rsid w:val="1F1648CB"/>
    <w:rsid w:val="1F17270B"/>
    <w:rsid w:val="1F1744AA"/>
    <w:rsid w:val="1F1763CE"/>
    <w:rsid w:val="1F1A3993"/>
    <w:rsid w:val="1F1D6ED4"/>
    <w:rsid w:val="1F1D7EE8"/>
    <w:rsid w:val="1F200D1C"/>
    <w:rsid w:val="1F2111C5"/>
    <w:rsid w:val="1F226CEB"/>
    <w:rsid w:val="1F262338"/>
    <w:rsid w:val="1F2A132B"/>
    <w:rsid w:val="1F2A675D"/>
    <w:rsid w:val="1F2B3DF2"/>
    <w:rsid w:val="1F2D65C0"/>
    <w:rsid w:val="1F2E7F57"/>
    <w:rsid w:val="1F2F63A6"/>
    <w:rsid w:val="1F325180"/>
    <w:rsid w:val="1F35256F"/>
    <w:rsid w:val="1F3B0C0F"/>
    <w:rsid w:val="1F3E1BD4"/>
    <w:rsid w:val="1F3F71F7"/>
    <w:rsid w:val="1F4339FF"/>
    <w:rsid w:val="1F46583A"/>
    <w:rsid w:val="1F480DF6"/>
    <w:rsid w:val="1F483424"/>
    <w:rsid w:val="1F4940B7"/>
    <w:rsid w:val="1F494278"/>
    <w:rsid w:val="1F496613"/>
    <w:rsid w:val="1F4D00C7"/>
    <w:rsid w:val="1F4D4995"/>
    <w:rsid w:val="1F4F01AB"/>
    <w:rsid w:val="1F4F2E96"/>
    <w:rsid w:val="1F536371"/>
    <w:rsid w:val="1F550E6F"/>
    <w:rsid w:val="1F564B9A"/>
    <w:rsid w:val="1F5725BE"/>
    <w:rsid w:val="1F573312"/>
    <w:rsid w:val="1F583B72"/>
    <w:rsid w:val="1F5A31A1"/>
    <w:rsid w:val="1F5A3E5D"/>
    <w:rsid w:val="1F60301D"/>
    <w:rsid w:val="1F613FCB"/>
    <w:rsid w:val="1F616F0E"/>
    <w:rsid w:val="1F681363"/>
    <w:rsid w:val="1F6A24F3"/>
    <w:rsid w:val="1F6D14A4"/>
    <w:rsid w:val="1F6D61B8"/>
    <w:rsid w:val="1F6E0857"/>
    <w:rsid w:val="1F6E2572"/>
    <w:rsid w:val="1F6F618F"/>
    <w:rsid w:val="1F6F69F0"/>
    <w:rsid w:val="1F75458E"/>
    <w:rsid w:val="1F77028B"/>
    <w:rsid w:val="1F781D7B"/>
    <w:rsid w:val="1F7A50F4"/>
    <w:rsid w:val="1F7A6012"/>
    <w:rsid w:val="1F7C289F"/>
    <w:rsid w:val="1F7E2174"/>
    <w:rsid w:val="1F7F5EEC"/>
    <w:rsid w:val="1F805170"/>
    <w:rsid w:val="1F8359DC"/>
    <w:rsid w:val="1F841A6F"/>
    <w:rsid w:val="1F843502"/>
    <w:rsid w:val="1F8720F8"/>
    <w:rsid w:val="1F877999"/>
    <w:rsid w:val="1F894ECD"/>
    <w:rsid w:val="1F8961BA"/>
    <w:rsid w:val="1F8D23B7"/>
    <w:rsid w:val="1F8D353F"/>
    <w:rsid w:val="1F8E3B7D"/>
    <w:rsid w:val="1F8E7E31"/>
    <w:rsid w:val="1F9169C7"/>
    <w:rsid w:val="1F9574BD"/>
    <w:rsid w:val="1F965A7C"/>
    <w:rsid w:val="1F971487"/>
    <w:rsid w:val="1F986D99"/>
    <w:rsid w:val="1F9E2ADD"/>
    <w:rsid w:val="1F9E52E2"/>
    <w:rsid w:val="1F9F47F3"/>
    <w:rsid w:val="1FA146E1"/>
    <w:rsid w:val="1FA37E2C"/>
    <w:rsid w:val="1FA814CD"/>
    <w:rsid w:val="1FAA740D"/>
    <w:rsid w:val="1FAB1DCF"/>
    <w:rsid w:val="1FAB6BD9"/>
    <w:rsid w:val="1FAE057F"/>
    <w:rsid w:val="1FB262C1"/>
    <w:rsid w:val="1FB41B54"/>
    <w:rsid w:val="1FB44C91"/>
    <w:rsid w:val="1FB5190D"/>
    <w:rsid w:val="1FB77434"/>
    <w:rsid w:val="1FB81613"/>
    <w:rsid w:val="1FBB0EF7"/>
    <w:rsid w:val="1FBD62E8"/>
    <w:rsid w:val="1FC07808"/>
    <w:rsid w:val="1FC13D0B"/>
    <w:rsid w:val="1FC16504"/>
    <w:rsid w:val="1FC22CE8"/>
    <w:rsid w:val="1FC53C27"/>
    <w:rsid w:val="1FC57DA2"/>
    <w:rsid w:val="1FC61F7C"/>
    <w:rsid w:val="1FC70B74"/>
    <w:rsid w:val="1FC85AE5"/>
    <w:rsid w:val="1FC97167"/>
    <w:rsid w:val="1FCB2EDF"/>
    <w:rsid w:val="1FCB7383"/>
    <w:rsid w:val="1FD15922"/>
    <w:rsid w:val="1FD224BF"/>
    <w:rsid w:val="1FD36C1D"/>
    <w:rsid w:val="1FD71884"/>
    <w:rsid w:val="1FD77FF1"/>
    <w:rsid w:val="1FD8134E"/>
    <w:rsid w:val="1FDB3FBC"/>
    <w:rsid w:val="1FDD6F4F"/>
    <w:rsid w:val="1FDF0FA7"/>
    <w:rsid w:val="1FE30229"/>
    <w:rsid w:val="1FE41564"/>
    <w:rsid w:val="1FE5410B"/>
    <w:rsid w:val="1FE65F6B"/>
    <w:rsid w:val="1FE7539E"/>
    <w:rsid w:val="1FE7779D"/>
    <w:rsid w:val="1FEA15B7"/>
    <w:rsid w:val="1FEB135A"/>
    <w:rsid w:val="1FEB2767"/>
    <w:rsid w:val="1FEC29BB"/>
    <w:rsid w:val="1FEC7089"/>
    <w:rsid w:val="1FED10A7"/>
    <w:rsid w:val="1FF1353B"/>
    <w:rsid w:val="1FF14035"/>
    <w:rsid w:val="1FF25F2F"/>
    <w:rsid w:val="1FF65517"/>
    <w:rsid w:val="1FF656AB"/>
    <w:rsid w:val="1FFB6966"/>
    <w:rsid w:val="1FFC1035"/>
    <w:rsid w:val="1FFD432B"/>
    <w:rsid w:val="1FFE1506"/>
    <w:rsid w:val="2001527E"/>
    <w:rsid w:val="20016901"/>
    <w:rsid w:val="2002750D"/>
    <w:rsid w:val="20045F71"/>
    <w:rsid w:val="20047889"/>
    <w:rsid w:val="200A0C39"/>
    <w:rsid w:val="200C1978"/>
    <w:rsid w:val="200C628E"/>
    <w:rsid w:val="200D12EE"/>
    <w:rsid w:val="200D34F7"/>
    <w:rsid w:val="200D6B6C"/>
    <w:rsid w:val="200E3F5F"/>
    <w:rsid w:val="20113A0B"/>
    <w:rsid w:val="20120BE3"/>
    <w:rsid w:val="201578CE"/>
    <w:rsid w:val="20170100"/>
    <w:rsid w:val="20176124"/>
    <w:rsid w:val="20177127"/>
    <w:rsid w:val="201833C3"/>
    <w:rsid w:val="201C308A"/>
    <w:rsid w:val="201C35AB"/>
    <w:rsid w:val="201D00C8"/>
    <w:rsid w:val="201D5597"/>
    <w:rsid w:val="201F7A58"/>
    <w:rsid w:val="20213C2B"/>
    <w:rsid w:val="2022777C"/>
    <w:rsid w:val="20262045"/>
    <w:rsid w:val="20297006"/>
    <w:rsid w:val="202A059E"/>
    <w:rsid w:val="202B1BD0"/>
    <w:rsid w:val="202B4E35"/>
    <w:rsid w:val="202D1DEC"/>
    <w:rsid w:val="202E72B2"/>
    <w:rsid w:val="2031368A"/>
    <w:rsid w:val="20314C6C"/>
    <w:rsid w:val="203331C9"/>
    <w:rsid w:val="203339D2"/>
    <w:rsid w:val="20341B15"/>
    <w:rsid w:val="20387CC7"/>
    <w:rsid w:val="20394AF6"/>
    <w:rsid w:val="203C321D"/>
    <w:rsid w:val="203C7989"/>
    <w:rsid w:val="203E243A"/>
    <w:rsid w:val="204038CD"/>
    <w:rsid w:val="204107D8"/>
    <w:rsid w:val="20425D0E"/>
    <w:rsid w:val="20435B4E"/>
    <w:rsid w:val="2045338B"/>
    <w:rsid w:val="20484424"/>
    <w:rsid w:val="204C04C4"/>
    <w:rsid w:val="204C3CFF"/>
    <w:rsid w:val="204D7978"/>
    <w:rsid w:val="204F4016"/>
    <w:rsid w:val="2050556E"/>
    <w:rsid w:val="20517888"/>
    <w:rsid w:val="2053548C"/>
    <w:rsid w:val="2054682E"/>
    <w:rsid w:val="205B727E"/>
    <w:rsid w:val="205C1B79"/>
    <w:rsid w:val="205E3D53"/>
    <w:rsid w:val="205E572E"/>
    <w:rsid w:val="205F0C58"/>
    <w:rsid w:val="20620FD2"/>
    <w:rsid w:val="20671BE0"/>
    <w:rsid w:val="20682F93"/>
    <w:rsid w:val="206A4754"/>
    <w:rsid w:val="206B70E9"/>
    <w:rsid w:val="206C021E"/>
    <w:rsid w:val="206C24EE"/>
    <w:rsid w:val="206F5F60"/>
    <w:rsid w:val="20762D9C"/>
    <w:rsid w:val="20765340"/>
    <w:rsid w:val="20790B8D"/>
    <w:rsid w:val="207A249B"/>
    <w:rsid w:val="207B4905"/>
    <w:rsid w:val="20825B9D"/>
    <w:rsid w:val="20887022"/>
    <w:rsid w:val="208D52E4"/>
    <w:rsid w:val="208E2D9E"/>
    <w:rsid w:val="208F10F2"/>
    <w:rsid w:val="208F6602"/>
    <w:rsid w:val="20912358"/>
    <w:rsid w:val="2091237A"/>
    <w:rsid w:val="20914128"/>
    <w:rsid w:val="2093474A"/>
    <w:rsid w:val="209433EE"/>
    <w:rsid w:val="20952D39"/>
    <w:rsid w:val="20963CB8"/>
    <w:rsid w:val="209812E5"/>
    <w:rsid w:val="209B0B03"/>
    <w:rsid w:val="209E2BAC"/>
    <w:rsid w:val="209E6760"/>
    <w:rsid w:val="209F6746"/>
    <w:rsid w:val="20A21E92"/>
    <w:rsid w:val="20A3433F"/>
    <w:rsid w:val="20A81A1B"/>
    <w:rsid w:val="20A83220"/>
    <w:rsid w:val="20AD3921"/>
    <w:rsid w:val="20AD4C4C"/>
    <w:rsid w:val="20AF60F4"/>
    <w:rsid w:val="20B059B5"/>
    <w:rsid w:val="20B07FB6"/>
    <w:rsid w:val="20B43B8A"/>
    <w:rsid w:val="20B4435E"/>
    <w:rsid w:val="20B44B0A"/>
    <w:rsid w:val="20B61DE1"/>
    <w:rsid w:val="20B646FB"/>
    <w:rsid w:val="20BE1DDA"/>
    <w:rsid w:val="20BE47F2"/>
    <w:rsid w:val="20C067BC"/>
    <w:rsid w:val="20C07000"/>
    <w:rsid w:val="20C20786"/>
    <w:rsid w:val="20C359E2"/>
    <w:rsid w:val="20C444FE"/>
    <w:rsid w:val="20C54850"/>
    <w:rsid w:val="20C66922"/>
    <w:rsid w:val="20C71B34"/>
    <w:rsid w:val="20CC25BA"/>
    <w:rsid w:val="20CD5469"/>
    <w:rsid w:val="20CF055F"/>
    <w:rsid w:val="20D55D37"/>
    <w:rsid w:val="20D64231"/>
    <w:rsid w:val="20D65FDF"/>
    <w:rsid w:val="20D67C62"/>
    <w:rsid w:val="20D841F3"/>
    <w:rsid w:val="20D91C91"/>
    <w:rsid w:val="20DA6354"/>
    <w:rsid w:val="20DB1848"/>
    <w:rsid w:val="20DB53A4"/>
    <w:rsid w:val="20DC0484"/>
    <w:rsid w:val="20DC6F53"/>
    <w:rsid w:val="20DD6A33"/>
    <w:rsid w:val="20E13D6B"/>
    <w:rsid w:val="20ED5259"/>
    <w:rsid w:val="20ED6B3B"/>
    <w:rsid w:val="20F052F3"/>
    <w:rsid w:val="20F070A1"/>
    <w:rsid w:val="20F1289E"/>
    <w:rsid w:val="20F2320E"/>
    <w:rsid w:val="20F271FD"/>
    <w:rsid w:val="20F55112"/>
    <w:rsid w:val="20F62F0B"/>
    <w:rsid w:val="20F83B0E"/>
    <w:rsid w:val="20F85A45"/>
    <w:rsid w:val="20FD648B"/>
    <w:rsid w:val="20FE42D5"/>
    <w:rsid w:val="20FE6665"/>
    <w:rsid w:val="20FF1092"/>
    <w:rsid w:val="20FF5536"/>
    <w:rsid w:val="20FF7733"/>
    <w:rsid w:val="20FF7CA8"/>
    <w:rsid w:val="210165B1"/>
    <w:rsid w:val="21016E20"/>
    <w:rsid w:val="21034C84"/>
    <w:rsid w:val="21040BD8"/>
    <w:rsid w:val="210812CD"/>
    <w:rsid w:val="210C37AF"/>
    <w:rsid w:val="210E0E51"/>
    <w:rsid w:val="210E338C"/>
    <w:rsid w:val="2115788F"/>
    <w:rsid w:val="211739B3"/>
    <w:rsid w:val="211803A6"/>
    <w:rsid w:val="211A5ECC"/>
    <w:rsid w:val="211C0286"/>
    <w:rsid w:val="211F78DD"/>
    <w:rsid w:val="21211551"/>
    <w:rsid w:val="212136FE"/>
    <w:rsid w:val="21240AF9"/>
    <w:rsid w:val="21246D4B"/>
    <w:rsid w:val="21281AD5"/>
    <w:rsid w:val="212B098A"/>
    <w:rsid w:val="212F4F7A"/>
    <w:rsid w:val="21317146"/>
    <w:rsid w:val="213668A9"/>
    <w:rsid w:val="2136720D"/>
    <w:rsid w:val="2137484A"/>
    <w:rsid w:val="21374CD0"/>
    <w:rsid w:val="21396FD3"/>
    <w:rsid w:val="213A634E"/>
    <w:rsid w:val="213B4094"/>
    <w:rsid w:val="213B74B1"/>
    <w:rsid w:val="213F1FA9"/>
    <w:rsid w:val="213F5933"/>
    <w:rsid w:val="21415B4F"/>
    <w:rsid w:val="21417858"/>
    <w:rsid w:val="21442FE1"/>
    <w:rsid w:val="21464F13"/>
    <w:rsid w:val="21472A39"/>
    <w:rsid w:val="214A3C08"/>
    <w:rsid w:val="21525734"/>
    <w:rsid w:val="21541DC2"/>
    <w:rsid w:val="215947D4"/>
    <w:rsid w:val="21596C18"/>
    <w:rsid w:val="215A2310"/>
    <w:rsid w:val="215C4736"/>
    <w:rsid w:val="215C4ECD"/>
    <w:rsid w:val="215D53E6"/>
    <w:rsid w:val="215E20EB"/>
    <w:rsid w:val="216102A1"/>
    <w:rsid w:val="21610E91"/>
    <w:rsid w:val="21611D4D"/>
    <w:rsid w:val="21623EBB"/>
    <w:rsid w:val="2164183D"/>
    <w:rsid w:val="21675E79"/>
    <w:rsid w:val="21677321"/>
    <w:rsid w:val="216C53BD"/>
    <w:rsid w:val="216D06F2"/>
    <w:rsid w:val="216D2EED"/>
    <w:rsid w:val="216F7324"/>
    <w:rsid w:val="21717AB6"/>
    <w:rsid w:val="21721E46"/>
    <w:rsid w:val="21743A26"/>
    <w:rsid w:val="217535D4"/>
    <w:rsid w:val="21784F36"/>
    <w:rsid w:val="21792E05"/>
    <w:rsid w:val="217934DB"/>
    <w:rsid w:val="217A53DE"/>
    <w:rsid w:val="217B13CF"/>
    <w:rsid w:val="217C69AC"/>
    <w:rsid w:val="217D4EBB"/>
    <w:rsid w:val="217F356D"/>
    <w:rsid w:val="21815F4B"/>
    <w:rsid w:val="218505B4"/>
    <w:rsid w:val="2186273E"/>
    <w:rsid w:val="218872DA"/>
    <w:rsid w:val="2188750B"/>
    <w:rsid w:val="218A4656"/>
    <w:rsid w:val="218E66FC"/>
    <w:rsid w:val="219519F6"/>
    <w:rsid w:val="21983295"/>
    <w:rsid w:val="21987E11"/>
    <w:rsid w:val="21990B14"/>
    <w:rsid w:val="219914E7"/>
    <w:rsid w:val="219A4245"/>
    <w:rsid w:val="219A700D"/>
    <w:rsid w:val="21A27496"/>
    <w:rsid w:val="21A33850"/>
    <w:rsid w:val="21A42256"/>
    <w:rsid w:val="21A5207B"/>
    <w:rsid w:val="21A954A2"/>
    <w:rsid w:val="21AA0945"/>
    <w:rsid w:val="21AB239E"/>
    <w:rsid w:val="21AE6286"/>
    <w:rsid w:val="21B31F5C"/>
    <w:rsid w:val="21B53220"/>
    <w:rsid w:val="21B5758D"/>
    <w:rsid w:val="21B64CC2"/>
    <w:rsid w:val="21B75ABC"/>
    <w:rsid w:val="21B75E11"/>
    <w:rsid w:val="21B85AAB"/>
    <w:rsid w:val="21BB2F9E"/>
    <w:rsid w:val="21BC4401"/>
    <w:rsid w:val="21BE0E1A"/>
    <w:rsid w:val="21C105ED"/>
    <w:rsid w:val="21C166E6"/>
    <w:rsid w:val="21C4408A"/>
    <w:rsid w:val="21C5052E"/>
    <w:rsid w:val="21C6509F"/>
    <w:rsid w:val="21C91279"/>
    <w:rsid w:val="21C91839"/>
    <w:rsid w:val="21CA1C53"/>
    <w:rsid w:val="21CB0240"/>
    <w:rsid w:val="21CD1190"/>
    <w:rsid w:val="21CD3BAA"/>
    <w:rsid w:val="21CE19AE"/>
    <w:rsid w:val="21CE62A0"/>
    <w:rsid w:val="21D16E34"/>
    <w:rsid w:val="21D20F20"/>
    <w:rsid w:val="21D36836"/>
    <w:rsid w:val="21DA1AFF"/>
    <w:rsid w:val="21DD5249"/>
    <w:rsid w:val="21DE318A"/>
    <w:rsid w:val="21DF298D"/>
    <w:rsid w:val="21E40D7C"/>
    <w:rsid w:val="21E5597C"/>
    <w:rsid w:val="21E72810"/>
    <w:rsid w:val="21E73DD5"/>
    <w:rsid w:val="21E82330"/>
    <w:rsid w:val="21E90747"/>
    <w:rsid w:val="21EA1A5A"/>
    <w:rsid w:val="21EA7F94"/>
    <w:rsid w:val="21EF5B80"/>
    <w:rsid w:val="21F11323"/>
    <w:rsid w:val="21F25D62"/>
    <w:rsid w:val="21F4671D"/>
    <w:rsid w:val="21F7416A"/>
    <w:rsid w:val="21F77FBB"/>
    <w:rsid w:val="21FC3824"/>
    <w:rsid w:val="21FD3F30"/>
    <w:rsid w:val="21FE0010"/>
    <w:rsid w:val="21FE40A7"/>
    <w:rsid w:val="21FF5F96"/>
    <w:rsid w:val="22004262"/>
    <w:rsid w:val="22053C2C"/>
    <w:rsid w:val="2208041A"/>
    <w:rsid w:val="220D5A31"/>
    <w:rsid w:val="220E4DD6"/>
    <w:rsid w:val="221008D5"/>
    <w:rsid w:val="221134CC"/>
    <w:rsid w:val="22123047"/>
    <w:rsid w:val="22130638"/>
    <w:rsid w:val="22137400"/>
    <w:rsid w:val="221446EF"/>
    <w:rsid w:val="22156652"/>
    <w:rsid w:val="22161FAF"/>
    <w:rsid w:val="22163DA6"/>
    <w:rsid w:val="2217128C"/>
    <w:rsid w:val="221F3CDD"/>
    <w:rsid w:val="22217A8D"/>
    <w:rsid w:val="22217C71"/>
    <w:rsid w:val="222409A4"/>
    <w:rsid w:val="222608A0"/>
    <w:rsid w:val="222B383D"/>
    <w:rsid w:val="222B7A67"/>
    <w:rsid w:val="222D2175"/>
    <w:rsid w:val="222F59A7"/>
    <w:rsid w:val="223226E2"/>
    <w:rsid w:val="22336A2B"/>
    <w:rsid w:val="22341823"/>
    <w:rsid w:val="22350F07"/>
    <w:rsid w:val="2237608C"/>
    <w:rsid w:val="223B4320"/>
    <w:rsid w:val="224156DA"/>
    <w:rsid w:val="22421B7E"/>
    <w:rsid w:val="2243298D"/>
    <w:rsid w:val="22472638"/>
    <w:rsid w:val="22482B1A"/>
    <w:rsid w:val="22487203"/>
    <w:rsid w:val="22497C45"/>
    <w:rsid w:val="224C2934"/>
    <w:rsid w:val="224D2B1D"/>
    <w:rsid w:val="224F7DF7"/>
    <w:rsid w:val="22512A8E"/>
    <w:rsid w:val="22517C08"/>
    <w:rsid w:val="22546409"/>
    <w:rsid w:val="22573150"/>
    <w:rsid w:val="22576990"/>
    <w:rsid w:val="22590C76"/>
    <w:rsid w:val="225A3AEE"/>
    <w:rsid w:val="225B2C40"/>
    <w:rsid w:val="225B49EE"/>
    <w:rsid w:val="22611FE3"/>
    <w:rsid w:val="22646776"/>
    <w:rsid w:val="226B2204"/>
    <w:rsid w:val="226C310F"/>
    <w:rsid w:val="226F3FF6"/>
    <w:rsid w:val="226F6A71"/>
    <w:rsid w:val="22743D02"/>
    <w:rsid w:val="227709CF"/>
    <w:rsid w:val="2277340E"/>
    <w:rsid w:val="227930C6"/>
    <w:rsid w:val="227A5B99"/>
    <w:rsid w:val="227B5090"/>
    <w:rsid w:val="227C3FA3"/>
    <w:rsid w:val="227E173A"/>
    <w:rsid w:val="22811A1C"/>
    <w:rsid w:val="228149A9"/>
    <w:rsid w:val="2283355E"/>
    <w:rsid w:val="22867984"/>
    <w:rsid w:val="22876785"/>
    <w:rsid w:val="228823CC"/>
    <w:rsid w:val="228C2DF9"/>
    <w:rsid w:val="228C2EB8"/>
    <w:rsid w:val="228C4BA7"/>
    <w:rsid w:val="228F4698"/>
    <w:rsid w:val="22950B53"/>
    <w:rsid w:val="229665D4"/>
    <w:rsid w:val="22970B49"/>
    <w:rsid w:val="22987E08"/>
    <w:rsid w:val="229972C4"/>
    <w:rsid w:val="229B042A"/>
    <w:rsid w:val="229C4FFD"/>
    <w:rsid w:val="229D6DB5"/>
    <w:rsid w:val="22A411FF"/>
    <w:rsid w:val="22A62E39"/>
    <w:rsid w:val="22B81163"/>
    <w:rsid w:val="22B86018"/>
    <w:rsid w:val="22B931C3"/>
    <w:rsid w:val="22B97967"/>
    <w:rsid w:val="22BB2F43"/>
    <w:rsid w:val="22BB585B"/>
    <w:rsid w:val="22BC5B94"/>
    <w:rsid w:val="22BD205F"/>
    <w:rsid w:val="22C00CF5"/>
    <w:rsid w:val="22C43875"/>
    <w:rsid w:val="22CB72A5"/>
    <w:rsid w:val="22CC1448"/>
    <w:rsid w:val="22CD6F6E"/>
    <w:rsid w:val="22CF7152"/>
    <w:rsid w:val="22CF718A"/>
    <w:rsid w:val="22D3406E"/>
    <w:rsid w:val="22D41D31"/>
    <w:rsid w:val="22D447A0"/>
    <w:rsid w:val="22D6085F"/>
    <w:rsid w:val="22D71A68"/>
    <w:rsid w:val="22D8603F"/>
    <w:rsid w:val="22DB45F8"/>
    <w:rsid w:val="22DB5B2F"/>
    <w:rsid w:val="22DD18A7"/>
    <w:rsid w:val="22DF10E3"/>
    <w:rsid w:val="22E25364"/>
    <w:rsid w:val="22E278D5"/>
    <w:rsid w:val="22E42C35"/>
    <w:rsid w:val="22E449E3"/>
    <w:rsid w:val="22E5075C"/>
    <w:rsid w:val="22E51143"/>
    <w:rsid w:val="22E65E75"/>
    <w:rsid w:val="22EA2095"/>
    <w:rsid w:val="22EC09AD"/>
    <w:rsid w:val="22EC1508"/>
    <w:rsid w:val="22EC236B"/>
    <w:rsid w:val="22F015DA"/>
    <w:rsid w:val="22F10EAE"/>
    <w:rsid w:val="22F17100"/>
    <w:rsid w:val="22F369D5"/>
    <w:rsid w:val="22F47480"/>
    <w:rsid w:val="22F47531"/>
    <w:rsid w:val="22F664C5"/>
    <w:rsid w:val="22F8223D"/>
    <w:rsid w:val="22FD0F6D"/>
    <w:rsid w:val="22FD4895"/>
    <w:rsid w:val="22FF6214"/>
    <w:rsid w:val="23045939"/>
    <w:rsid w:val="230A54C8"/>
    <w:rsid w:val="230E7CB2"/>
    <w:rsid w:val="230F4F3C"/>
    <w:rsid w:val="230F7587"/>
    <w:rsid w:val="23133FE2"/>
    <w:rsid w:val="23144C9D"/>
    <w:rsid w:val="23151041"/>
    <w:rsid w:val="231524AC"/>
    <w:rsid w:val="23177325"/>
    <w:rsid w:val="231921B3"/>
    <w:rsid w:val="231B3D34"/>
    <w:rsid w:val="231C5DFD"/>
    <w:rsid w:val="23204D8C"/>
    <w:rsid w:val="232253CC"/>
    <w:rsid w:val="23297438"/>
    <w:rsid w:val="232B0864"/>
    <w:rsid w:val="232B2612"/>
    <w:rsid w:val="232C0139"/>
    <w:rsid w:val="232D0867"/>
    <w:rsid w:val="232D1C8E"/>
    <w:rsid w:val="23324CE2"/>
    <w:rsid w:val="233314C7"/>
    <w:rsid w:val="233440AA"/>
    <w:rsid w:val="23372C55"/>
    <w:rsid w:val="23374D78"/>
    <w:rsid w:val="23386702"/>
    <w:rsid w:val="233C2A9D"/>
    <w:rsid w:val="233C45CA"/>
    <w:rsid w:val="23415713"/>
    <w:rsid w:val="23442805"/>
    <w:rsid w:val="23462B64"/>
    <w:rsid w:val="2346732E"/>
    <w:rsid w:val="23477AAF"/>
    <w:rsid w:val="234A59F4"/>
    <w:rsid w:val="234C29F2"/>
    <w:rsid w:val="234E30ED"/>
    <w:rsid w:val="234E4C24"/>
    <w:rsid w:val="2350145F"/>
    <w:rsid w:val="23514F66"/>
    <w:rsid w:val="23531B69"/>
    <w:rsid w:val="235356C5"/>
    <w:rsid w:val="235C0A1E"/>
    <w:rsid w:val="23637E10"/>
    <w:rsid w:val="236548B5"/>
    <w:rsid w:val="23695B72"/>
    <w:rsid w:val="236A0F72"/>
    <w:rsid w:val="236B2804"/>
    <w:rsid w:val="236B79D6"/>
    <w:rsid w:val="236C0579"/>
    <w:rsid w:val="236E245B"/>
    <w:rsid w:val="23720241"/>
    <w:rsid w:val="23720A75"/>
    <w:rsid w:val="23727B8C"/>
    <w:rsid w:val="23734602"/>
    <w:rsid w:val="2374288F"/>
    <w:rsid w:val="23775858"/>
    <w:rsid w:val="23787B5B"/>
    <w:rsid w:val="237D4518"/>
    <w:rsid w:val="237E2C29"/>
    <w:rsid w:val="238816C0"/>
    <w:rsid w:val="23887D22"/>
    <w:rsid w:val="238910E7"/>
    <w:rsid w:val="238B3B63"/>
    <w:rsid w:val="238B3D74"/>
    <w:rsid w:val="238C54A8"/>
    <w:rsid w:val="238E38D6"/>
    <w:rsid w:val="23921B8E"/>
    <w:rsid w:val="23935224"/>
    <w:rsid w:val="2395779C"/>
    <w:rsid w:val="23974966"/>
    <w:rsid w:val="23976823"/>
    <w:rsid w:val="23987286"/>
    <w:rsid w:val="239B0830"/>
    <w:rsid w:val="239C1276"/>
    <w:rsid w:val="239E4C54"/>
    <w:rsid w:val="239F2769"/>
    <w:rsid w:val="23A338CC"/>
    <w:rsid w:val="23A75A11"/>
    <w:rsid w:val="23AB08E3"/>
    <w:rsid w:val="23AB5501"/>
    <w:rsid w:val="23AD7CC4"/>
    <w:rsid w:val="23AE6D9F"/>
    <w:rsid w:val="23AF2A0C"/>
    <w:rsid w:val="23B02B18"/>
    <w:rsid w:val="23B460C2"/>
    <w:rsid w:val="23B5012E"/>
    <w:rsid w:val="23B819CC"/>
    <w:rsid w:val="23C11712"/>
    <w:rsid w:val="23C15840"/>
    <w:rsid w:val="23C40371"/>
    <w:rsid w:val="23C52378"/>
    <w:rsid w:val="23C91E2B"/>
    <w:rsid w:val="23CA6176"/>
    <w:rsid w:val="23CB3666"/>
    <w:rsid w:val="23CC127E"/>
    <w:rsid w:val="23CD084E"/>
    <w:rsid w:val="23D031BA"/>
    <w:rsid w:val="23D0581C"/>
    <w:rsid w:val="23D22A8E"/>
    <w:rsid w:val="23D2737F"/>
    <w:rsid w:val="23D36742"/>
    <w:rsid w:val="23D911FB"/>
    <w:rsid w:val="23DB54BE"/>
    <w:rsid w:val="23DE1C48"/>
    <w:rsid w:val="23DE5F3F"/>
    <w:rsid w:val="23DE7685"/>
    <w:rsid w:val="23DF33FD"/>
    <w:rsid w:val="23E40A13"/>
    <w:rsid w:val="23E6478B"/>
    <w:rsid w:val="23E65256"/>
    <w:rsid w:val="23E8690E"/>
    <w:rsid w:val="23EB3E92"/>
    <w:rsid w:val="23EB41BD"/>
    <w:rsid w:val="23EB7611"/>
    <w:rsid w:val="23ED744B"/>
    <w:rsid w:val="23F358F2"/>
    <w:rsid w:val="23F427B1"/>
    <w:rsid w:val="23F51376"/>
    <w:rsid w:val="23F5677C"/>
    <w:rsid w:val="23F665FD"/>
    <w:rsid w:val="23F73FAA"/>
    <w:rsid w:val="23FC6C77"/>
    <w:rsid w:val="23FE7D27"/>
    <w:rsid w:val="23FF0BC0"/>
    <w:rsid w:val="240055F7"/>
    <w:rsid w:val="24015DC8"/>
    <w:rsid w:val="240210CD"/>
    <w:rsid w:val="24024371"/>
    <w:rsid w:val="24040FD0"/>
    <w:rsid w:val="240940A4"/>
    <w:rsid w:val="240B4AE7"/>
    <w:rsid w:val="24115EF5"/>
    <w:rsid w:val="2412732E"/>
    <w:rsid w:val="24156E1F"/>
    <w:rsid w:val="24163D08"/>
    <w:rsid w:val="24171D4A"/>
    <w:rsid w:val="241A01A6"/>
    <w:rsid w:val="241A34EA"/>
    <w:rsid w:val="241B316F"/>
    <w:rsid w:val="241B5EDB"/>
    <w:rsid w:val="241B6B8C"/>
    <w:rsid w:val="241D460B"/>
    <w:rsid w:val="241E5CD3"/>
    <w:rsid w:val="2423594F"/>
    <w:rsid w:val="242451FF"/>
    <w:rsid w:val="24286B52"/>
    <w:rsid w:val="24295916"/>
    <w:rsid w:val="242A79DC"/>
    <w:rsid w:val="242B6642"/>
    <w:rsid w:val="242D35CA"/>
    <w:rsid w:val="242D4736"/>
    <w:rsid w:val="24322EB5"/>
    <w:rsid w:val="243454F7"/>
    <w:rsid w:val="243A61E9"/>
    <w:rsid w:val="243A71D3"/>
    <w:rsid w:val="243C084F"/>
    <w:rsid w:val="243C25FD"/>
    <w:rsid w:val="24402403"/>
    <w:rsid w:val="244061E6"/>
    <w:rsid w:val="2441706C"/>
    <w:rsid w:val="2443573A"/>
    <w:rsid w:val="24444377"/>
    <w:rsid w:val="24476E69"/>
    <w:rsid w:val="24482D50"/>
    <w:rsid w:val="244871F4"/>
    <w:rsid w:val="244A342C"/>
    <w:rsid w:val="244D0366"/>
    <w:rsid w:val="244D25B4"/>
    <w:rsid w:val="245076FF"/>
    <w:rsid w:val="24507E57"/>
    <w:rsid w:val="245142FB"/>
    <w:rsid w:val="24572F93"/>
    <w:rsid w:val="24587607"/>
    <w:rsid w:val="245931AF"/>
    <w:rsid w:val="245A51AD"/>
    <w:rsid w:val="245B1A23"/>
    <w:rsid w:val="245C2C9F"/>
    <w:rsid w:val="245C4A4D"/>
    <w:rsid w:val="245C4DAC"/>
    <w:rsid w:val="245C67FB"/>
    <w:rsid w:val="245D3FC9"/>
    <w:rsid w:val="245E07C6"/>
    <w:rsid w:val="245E4322"/>
    <w:rsid w:val="24604A15"/>
    <w:rsid w:val="24605D27"/>
    <w:rsid w:val="24613E12"/>
    <w:rsid w:val="246658A8"/>
    <w:rsid w:val="246817EF"/>
    <w:rsid w:val="246838CE"/>
    <w:rsid w:val="246A716A"/>
    <w:rsid w:val="247022A7"/>
    <w:rsid w:val="24724271"/>
    <w:rsid w:val="247728D0"/>
    <w:rsid w:val="24774F69"/>
    <w:rsid w:val="24797AB8"/>
    <w:rsid w:val="247E0F32"/>
    <w:rsid w:val="247E2C16"/>
    <w:rsid w:val="247E5B7F"/>
    <w:rsid w:val="247F2D86"/>
    <w:rsid w:val="248024EA"/>
    <w:rsid w:val="24832B71"/>
    <w:rsid w:val="24853FA4"/>
    <w:rsid w:val="24854856"/>
    <w:rsid w:val="248768B2"/>
    <w:rsid w:val="248C3895"/>
    <w:rsid w:val="24910AF8"/>
    <w:rsid w:val="24914051"/>
    <w:rsid w:val="24933CDE"/>
    <w:rsid w:val="2496378E"/>
    <w:rsid w:val="2497229B"/>
    <w:rsid w:val="24975A86"/>
    <w:rsid w:val="24983D03"/>
    <w:rsid w:val="24990929"/>
    <w:rsid w:val="249B19C2"/>
    <w:rsid w:val="249C112B"/>
    <w:rsid w:val="249D7540"/>
    <w:rsid w:val="249E0BC2"/>
    <w:rsid w:val="249F5F78"/>
    <w:rsid w:val="24A402F9"/>
    <w:rsid w:val="24A563F4"/>
    <w:rsid w:val="24A81427"/>
    <w:rsid w:val="24AA57B9"/>
    <w:rsid w:val="24AC0FD7"/>
    <w:rsid w:val="24AF0A00"/>
    <w:rsid w:val="24AF7273"/>
    <w:rsid w:val="24B2466D"/>
    <w:rsid w:val="24B67467"/>
    <w:rsid w:val="24B76319"/>
    <w:rsid w:val="24B959FC"/>
    <w:rsid w:val="24B967D7"/>
    <w:rsid w:val="24BB5293"/>
    <w:rsid w:val="24BC2BBF"/>
    <w:rsid w:val="24BF09F7"/>
    <w:rsid w:val="24C24DB8"/>
    <w:rsid w:val="24C30629"/>
    <w:rsid w:val="24CD1023"/>
    <w:rsid w:val="24CD66C6"/>
    <w:rsid w:val="24CF521F"/>
    <w:rsid w:val="24D12D46"/>
    <w:rsid w:val="24D572A9"/>
    <w:rsid w:val="24D64800"/>
    <w:rsid w:val="24D665AE"/>
    <w:rsid w:val="24D82326"/>
    <w:rsid w:val="24DF43DC"/>
    <w:rsid w:val="24E230AA"/>
    <w:rsid w:val="24E25225"/>
    <w:rsid w:val="24E567F1"/>
    <w:rsid w:val="24E8008F"/>
    <w:rsid w:val="24E80D0A"/>
    <w:rsid w:val="24EA02AB"/>
    <w:rsid w:val="24ED1876"/>
    <w:rsid w:val="24ED1EFD"/>
    <w:rsid w:val="24F6305A"/>
    <w:rsid w:val="24F86524"/>
    <w:rsid w:val="24F924EF"/>
    <w:rsid w:val="24FA29B1"/>
    <w:rsid w:val="24FB4266"/>
    <w:rsid w:val="24FD0966"/>
    <w:rsid w:val="24FD0F57"/>
    <w:rsid w:val="24FE63E8"/>
    <w:rsid w:val="250017D3"/>
    <w:rsid w:val="25020904"/>
    <w:rsid w:val="250345A2"/>
    <w:rsid w:val="25037EB8"/>
    <w:rsid w:val="25050855"/>
    <w:rsid w:val="25050981"/>
    <w:rsid w:val="250571F4"/>
    <w:rsid w:val="250C3A77"/>
    <w:rsid w:val="250E094B"/>
    <w:rsid w:val="251023FE"/>
    <w:rsid w:val="25117801"/>
    <w:rsid w:val="25117E76"/>
    <w:rsid w:val="2513335E"/>
    <w:rsid w:val="251574E2"/>
    <w:rsid w:val="25162E4E"/>
    <w:rsid w:val="25191203"/>
    <w:rsid w:val="251C0075"/>
    <w:rsid w:val="251E4F3C"/>
    <w:rsid w:val="252213BA"/>
    <w:rsid w:val="252226E3"/>
    <w:rsid w:val="25236EE6"/>
    <w:rsid w:val="2526381D"/>
    <w:rsid w:val="25284930"/>
    <w:rsid w:val="252B6033"/>
    <w:rsid w:val="252D53FE"/>
    <w:rsid w:val="252F5CBE"/>
    <w:rsid w:val="252F72B7"/>
    <w:rsid w:val="25302162"/>
    <w:rsid w:val="25311A36"/>
    <w:rsid w:val="25330E87"/>
    <w:rsid w:val="25354793"/>
    <w:rsid w:val="2537654E"/>
    <w:rsid w:val="25382DC5"/>
    <w:rsid w:val="25396B3D"/>
    <w:rsid w:val="253B2191"/>
    <w:rsid w:val="253B7DA4"/>
    <w:rsid w:val="253F0B12"/>
    <w:rsid w:val="254000EB"/>
    <w:rsid w:val="25401C79"/>
    <w:rsid w:val="25411614"/>
    <w:rsid w:val="25415502"/>
    <w:rsid w:val="25421E95"/>
    <w:rsid w:val="25434231"/>
    <w:rsid w:val="254A0D4A"/>
    <w:rsid w:val="254D69A9"/>
    <w:rsid w:val="254E3DC1"/>
    <w:rsid w:val="25505C6F"/>
    <w:rsid w:val="255078BF"/>
    <w:rsid w:val="25520365"/>
    <w:rsid w:val="255319AC"/>
    <w:rsid w:val="25534882"/>
    <w:rsid w:val="25555404"/>
    <w:rsid w:val="25580701"/>
    <w:rsid w:val="2558221D"/>
    <w:rsid w:val="25590984"/>
    <w:rsid w:val="255913F2"/>
    <w:rsid w:val="255A27CE"/>
    <w:rsid w:val="255D0682"/>
    <w:rsid w:val="25603F25"/>
    <w:rsid w:val="2567433B"/>
    <w:rsid w:val="25697422"/>
    <w:rsid w:val="256B2DA2"/>
    <w:rsid w:val="256F381A"/>
    <w:rsid w:val="25703F94"/>
    <w:rsid w:val="25733194"/>
    <w:rsid w:val="257455B1"/>
    <w:rsid w:val="257873C3"/>
    <w:rsid w:val="257A0ADE"/>
    <w:rsid w:val="257A27F8"/>
    <w:rsid w:val="257A4FEF"/>
    <w:rsid w:val="257F5094"/>
    <w:rsid w:val="257F6C45"/>
    <w:rsid w:val="25806F5C"/>
    <w:rsid w:val="258160E4"/>
    <w:rsid w:val="258166A9"/>
    <w:rsid w:val="258464D5"/>
    <w:rsid w:val="25850D9A"/>
    <w:rsid w:val="25864898"/>
    <w:rsid w:val="25873D4C"/>
    <w:rsid w:val="25897AC4"/>
    <w:rsid w:val="258B383C"/>
    <w:rsid w:val="258C1362"/>
    <w:rsid w:val="258D18F8"/>
    <w:rsid w:val="258F39B1"/>
    <w:rsid w:val="25910727"/>
    <w:rsid w:val="259354C3"/>
    <w:rsid w:val="25937AD7"/>
    <w:rsid w:val="25951FC5"/>
    <w:rsid w:val="25A17EDC"/>
    <w:rsid w:val="25A439CB"/>
    <w:rsid w:val="25A641D2"/>
    <w:rsid w:val="25A824D2"/>
    <w:rsid w:val="25A9143A"/>
    <w:rsid w:val="25A95A70"/>
    <w:rsid w:val="25B06DFF"/>
    <w:rsid w:val="25B1067B"/>
    <w:rsid w:val="25B21E25"/>
    <w:rsid w:val="25B47B8F"/>
    <w:rsid w:val="25B60E4F"/>
    <w:rsid w:val="25B74631"/>
    <w:rsid w:val="25BA5ED0"/>
    <w:rsid w:val="25BD4805"/>
    <w:rsid w:val="25C16C4A"/>
    <w:rsid w:val="25C42274"/>
    <w:rsid w:val="25C44C92"/>
    <w:rsid w:val="25C51071"/>
    <w:rsid w:val="25C53A4C"/>
    <w:rsid w:val="25C54E2D"/>
    <w:rsid w:val="25C603D0"/>
    <w:rsid w:val="25C87183"/>
    <w:rsid w:val="25CA3B84"/>
    <w:rsid w:val="25D3548E"/>
    <w:rsid w:val="25D54E63"/>
    <w:rsid w:val="25D725DE"/>
    <w:rsid w:val="25DA7BB5"/>
    <w:rsid w:val="25DC115B"/>
    <w:rsid w:val="25E11E4F"/>
    <w:rsid w:val="25E1345C"/>
    <w:rsid w:val="25E70A64"/>
    <w:rsid w:val="25E83425"/>
    <w:rsid w:val="25EC2D81"/>
    <w:rsid w:val="25EC6830"/>
    <w:rsid w:val="25EF1A4A"/>
    <w:rsid w:val="25F5798C"/>
    <w:rsid w:val="25F71631"/>
    <w:rsid w:val="25FA2770"/>
    <w:rsid w:val="25FA3563"/>
    <w:rsid w:val="25FA62CC"/>
    <w:rsid w:val="25FE27D5"/>
    <w:rsid w:val="25FF1B34"/>
    <w:rsid w:val="26027229"/>
    <w:rsid w:val="2604539D"/>
    <w:rsid w:val="26047F71"/>
    <w:rsid w:val="26056D25"/>
    <w:rsid w:val="26061115"/>
    <w:rsid w:val="260969F9"/>
    <w:rsid w:val="260C3B17"/>
    <w:rsid w:val="261220B7"/>
    <w:rsid w:val="261849A4"/>
    <w:rsid w:val="26184BAD"/>
    <w:rsid w:val="26213859"/>
    <w:rsid w:val="26217CFD"/>
    <w:rsid w:val="262250F4"/>
    <w:rsid w:val="2624159B"/>
    <w:rsid w:val="26284658"/>
    <w:rsid w:val="26297ECE"/>
    <w:rsid w:val="262B3C61"/>
    <w:rsid w:val="262E3697"/>
    <w:rsid w:val="26300A22"/>
    <w:rsid w:val="263072E0"/>
    <w:rsid w:val="26347AA5"/>
    <w:rsid w:val="2635321F"/>
    <w:rsid w:val="263537A8"/>
    <w:rsid w:val="263630DF"/>
    <w:rsid w:val="263954E8"/>
    <w:rsid w:val="263A7612"/>
    <w:rsid w:val="263F24D4"/>
    <w:rsid w:val="26415CA9"/>
    <w:rsid w:val="2642329D"/>
    <w:rsid w:val="264311D4"/>
    <w:rsid w:val="26431D18"/>
    <w:rsid w:val="26433F74"/>
    <w:rsid w:val="26483E2B"/>
    <w:rsid w:val="264B57D6"/>
    <w:rsid w:val="264B6B28"/>
    <w:rsid w:val="264D28A0"/>
    <w:rsid w:val="264D2C1B"/>
    <w:rsid w:val="2651714F"/>
    <w:rsid w:val="26554B4E"/>
    <w:rsid w:val="2657371E"/>
    <w:rsid w:val="265A2769"/>
    <w:rsid w:val="265A320F"/>
    <w:rsid w:val="265A4490"/>
    <w:rsid w:val="265C6586"/>
    <w:rsid w:val="265D19C7"/>
    <w:rsid w:val="26605D6C"/>
    <w:rsid w:val="26610E1F"/>
    <w:rsid w:val="2661459D"/>
    <w:rsid w:val="26626CF5"/>
    <w:rsid w:val="26643D7E"/>
    <w:rsid w:val="26655E3B"/>
    <w:rsid w:val="2666514C"/>
    <w:rsid w:val="26673DFA"/>
    <w:rsid w:val="266C328D"/>
    <w:rsid w:val="266D6CB2"/>
    <w:rsid w:val="266F269B"/>
    <w:rsid w:val="266F31D5"/>
    <w:rsid w:val="266F6CBA"/>
    <w:rsid w:val="2674607E"/>
    <w:rsid w:val="267542EF"/>
    <w:rsid w:val="26760529"/>
    <w:rsid w:val="2677074C"/>
    <w:rsid w:val="26775AC1"/>
    <w:rsid w:val="26795C3D"/>
    <w:rsid w:val="267A7D4E"/>
    <w:rsid w:val="267C4F33"/>
    <w:rsid w:val="267D7750"/>
    <w:rsid w:val="267F0A80"/>
    <w:rsid w:val="2681053C"/>
    <w:rsid w:val="26811BFB"/>
    <w:rsid w:val="26832425"/>
    <w:rsid w:val="2683242F"/>
    <w:rsid w:val="268D00E7"/>
    <w:rsid w:val="268D4835"/>
    <w:rsid w:val="268F6768"/>
    <w:rsid w:val="2695288C"/>
    <w:rsid w:val="269745BB"/>
    <w:rsid w:val="269928BA"/>
    <w:rsid w:val="269C09B3"/>
    <w:rsid w:val="269D3BA8"/>
    <w:rsid w:val="269E2F30"/>
    <w:rsid w:val="269E30FB"/>
    <w:rsid w:val="269F3A9D"/>
    <w:rsid w:val="26A10A2F"/>
    <w:rsid w:val="26AE14C0"/>
    <w:rsid w:val="26AE1632"/>
    <w:rsid w:val="26B13172"/>
    <w:rsid w:val="26B25971"/>
    <w:rsid w:val="26B62A26"/>
    <w:rsid w:val="26B91CE3"/>
    <w:rsid w:val="26B97F35"/>
    <w:rsid w:val="26BA1796"/>
    <w:rsid w:val="26BB1959"/>
    <w:rsid w:val="26BC3973"/>
    <w:rsid w:val="26BC55FD"/>
    <w:rsid w:val="26BD1C88"/>
    <w:rsid w:val="26BD5C77"/>
    <w:rsid w:val="26BE379D"/>
    <w:rsid w:val="26BE554B"/>
    <w:rsid w:val="26C03072"/>
    <w:rsid w:val="26C05702"/>
    <w:rsid w:val="26C863CA"/>
    <w:rsid w:val="26C940A3"/>
    <w:rsid w:val="26CA74CB"/>
    <w:rsid w:val="26CC00B6"/>
    <w:rsid w:val="26D12047"/>
    <w:rsid w:val="26D42FC1"/>
    <w:rsid w:val="26D51C9B"/>
    <w:rsid w:val="26D607F7"/>
    <w:rsid w:val="26D614DB"/>
    <w:rsid w:val="26D728CC"/>
    <w:rsid w:val="26DB1B81"/>
    <w:rsid w:val="26DB434F"/>
    <w:rsid w:val="26DE7424"/>
    <w:rsid w:val="26E26035"/>
    <w:rsid w:val="26E52AD8"/>
    <w:rsid w:val="26E658DE"/>
    <w:rsid w:val="26E74AA2"/>
    <w:rsid w:val="26E92618"/>
    <w:rsid w:val="26EA6341"/>
    <w:rsid w:val="26EB0F1F"/>
    <w:rsid w:val="26ED11C9"/>
    <w:rsid w:val="26F11D0E"/>
    <w:rsid w:val="26F313F6"/>
    <w:rsid w:val="26F36C20"/>
    <w:rsid w:val="26F50752"/>
    <w:rsid w:val="26F772BA"/>
    <w:rsid w:val="26FC7E22"/>
    <w:rsid w:val="26FE003E"/>
    <w:rsid w:val="26FE122A"/>
    <w:rsid w:val="26FE1DEC"/>
    <w:rsid w:val="26FF7172"/>
    <w:rsid w:val="2701268A"/>
    <w:rsid w:val="27020878"/>
    <w:rsid w:val="27046DB7"/>
    <w:rsid w:val="27073734"/>
    <w:rsid w:val="270A0791"/>
    <w:rsid w:val="270C68B0"/>
    <w:rsid w:val="270E64D3"/>
    <w:rsid w:val="27106400"/>
    <w:rsid w:val="27167E66"/>
    <w:rsid w:val="271B33D3"/>
    <w:rsid w:val="271B474C"/>
    <w:rsid w:val="271B6F16"/>
    <w:rsid w:val="271D48AB"/>
    <w:rsid w:val="27207561"/>
    <w:rsid w:val="27220320"/>
    <w:rsid w:val="27221F7E"/>
    <w:rsid w:val="27224584"/>
    <w:rsid w:val="272356CC"/>
    <w:rsid w:val="27291A5F"/>
    <w:rsid w:val="272950BB"/>
    <w:rsid w:val="272D447F"/>
    <w:rsid w:val="27350277"/>
    <w:rsid w:val="2737798A"/>
    <w:rsid w:val="27383B2E"/>
    <w:rsid w:val="273870AC"/>
    <w:rsid w:val="273902E6"/>
    <w:rsid w:val="273E2DE7"/>
    <w:rsid w:val="27402404"/>
    <w:rsid w:val="27415786"/>
    <w:rsid w:val="27423A13"/>
    <w:rsid w:val="27426144"/>
    <w:rsid w:val="27427F2B"/>
    <w:rsid w:val="2743792B"/>
    <w:rsid w:val="27444E79"/>
    <w:rsid w:val="2745745A"/>
    <w:rsid w:val="2749699F"/>
    <w:rsid w:val="274A5031"/>
    <w:rsid w:val="274C7090"/>
    <w:rsid w:val="274E4E8A"/>
    <w:rsid w:val="274F2647"/>
    <w:rsid w:val="274F5D72"/>
    <w:rsid w:val="2750640D"/>
    <w:rsid w:val="27511997"/>
    <w:rsid w:val="2751369B"/>
    <w:rsid w:val="27516BAB"/>
    <w:rsid w:val="27532138"/>
    <w:rsid w:val="27541418"/>
    <w:rsid w:val="275709F6"/>
    <w:rsid w:val="275859A0"/>
    <w:rsid w:val="27585F35"/>
    <w:rsid w:val="275A657A"/>
    <w:rsid w:val="275B200A"/>
    <w:rsid w:val="275C55C1"/>
    <w:rsid w:val="275D6B12"/>
    <w:rsid w:val="275F42C0"/>
    <w:rsid w:val="275F6B2C"/>
    <w:rsid w:val="27611E06"/>
    <w:rsid w:val="27622802"/>
    <w:rsid w:val="27630472"/>
    <w:rsid w:val="27653C19"/>
    <w:rsid w:val="276738C3"/>
    <w:rsid w:val="27677991"/>
    <w:rsid w:val="276B56D3"/>
    <w:rsid w:val="276C144B"/>
    <w:rsid w:val="276C14D2"/>
    <w:rsid w:val="276C4FA7"/>
    <w:rsid w:val="276F1FE3"/>
    <w:rsid w:val="27702CEA"/>
    <w:rsid w:val="277057A2"/>
    <w:rsid w:val="27734588"/>
    <w:rsid w:val="27742A54"/>
    <w:rsid w:val="27742C65"/>
    <w:rsid w:val="27753077"/>
    <w:rsid w:val="277934FC"/>
    <w:rsid w:val="277C32D5"/>
    <w:rsid w:val="277D0A40"/>
    <w:rsid w:val="277E3724"/>
    <w:rsid w:val="277F2F2D"/>
    <w:rsid w:val="2780082F"/>
    <w:rsid w:val="278025A2"/>
    <w:rsid w:val="27841490"/>
    <w:rsid w:val="278422F1"/>
    <w:rsid w:val="2787154C"/>
    <w:rsid w:val="278B242D"/>
    <w:rsid w:val="278C564A"/>
    <w:rsid w:val="278E278E"/>
    <w:rsid w:val="278F0497"/>
    <w:rsid w:val="278F063A"/>
    <w:rsid w:val="27901BC1"/>
    <w:rsid w:val="27911CF2"/>
    <w:rsid w:val="279369D8"/>
    <w:rsid w:val="2797390E"/>
    <w:rsid w:val="27975171"/>
    <w:rsid w:val="279D3598"/>
    <w:rsid w:val="279E3502"/>
    <w:rsid w:val="27A022AE"/>
    <w:rsid w:val="27A11C01"/>
    <w:rsid w:val="27A3409B"/>
    <w:rsid w:val="27A43FA6"/>
    <w:rsid w:val="27A91D58"/>
    <w:rsid w:val="27AA481E"/>
    <w:rsid w:val="27AB4887"/>
    <w:rsid w:val="27AC7A9A"/>
    <w:rsid w:val="27AD5CE0"/>
    <w:rsid w:val="27B16E5E"/>
    <w:rsid w:val="27B34984"/>
    <w:rsid w:val="27B53BB3"/>
    <w:rsid w:val="27B8268B"/>
    <w:rsid w:val="27BA3F65"/>
    <w:rsid w:val="27BC4C51"/>
    <w:rsid w:val="27BC5F2F"/>
    <w:rsid w:val="27BC6D9E"/>
    <w:rsid w:val="27BD428B"/>
    <w:rsid w:val="27C00091"/>
    <w:rsid w:val="27C15C6D"/>
    <w:rsid w:val="27C6290A"/>
    <w:rsid w:val="27C62F70"/>
    <w:rsid w:val="27C9073D"/>
    <w:rsid w:val="27CB6172"/>
    <w:rsid w:val="27CC04BB"/>
    <w:rsid w:val="27CC5A46"/>
    <w:rsid w:val="27D13797"/>
    <w:rsid w:val="27D444EA"/>
    <w:rsid w:val="27D66B0F"/>
    <w:rsid w:val="27D7164E"/>
    <w:rsid w:val="27D843EB"/>
    <w:rsid w:val="27DD5EA5"/>
    <w:rsid w:val="27DE2988"/>
    <w:rsid w:val="27E20AD9"/>
    <w:rsid w:val="27E47234"/>
    <w:rsid w:val="27E66999"/>
    <w:rsid w:val="27E86FF7"/>
    <w:rsid w:val="27EB7372"/>
    <w:rsid w:val="27F07987"/>
    <w:rsid w:val="27F079BC"/>
    <w:rsid w:val="27F23C26"/>
    <w:rsid w:val="27F243FB"/>
    <w:rsid w:val="27F356C9"/>
    <w:rsid w:val="27F53BFF"/>
    <w:rsid w:val="27F65D5C"/>
    <w:rsid w:val="27F83E3F"/>
    <w:rsid w:val="27F84A8D"/>
    <w:rsid w:val="27F8683B"/>
    <w:rsid w:val="27F90250"/>
    <w:rsid w:val="27FF5E1C"/>
    <w:rsid w:val="28013942"/>
    <w:rsid w:val="28045EEE"/>
    <w:rsid w:val="28071C9D"/>
    <w:rsid w:val="28090A48"/>
    <w:rsid w:val="28094749"/>
    <w:rsid w:val="280C6767"/>
    <w:rsid w:val="280D53A7"/>
    <w:rsid w:val="280E3A29"/>
    <w:rsid w:val="280E42B1"/>
    <w:rsid w:val="280F77D5"/>
    <w:rsid w:val="28131C63"/>
    <w:rsid w:val="28136621"/>
    <w:rsid w:val="28156BD8"/>
    <w:rsid w:val="28156D3B"/>
    <w:rsid w:val="28167EFC"/>
    <w:rsid w:val="281A4A03"/>
    <w:rsid w:val="281D62A2"/>
    <w:rsid w:val="281E1799"/>
    <w:rsid w:val="28202003"/>
    <w:rsid w:val="28212236"/>
    <w:rsid w:val="28274EF2"/>
    <w:rsid w:val="282870EB"/>
    <w:rsid w:val="282919A3"/>
    <w:rsid w:val="28327F9F"/>
    <w:rsid w:val="28397A08"/>
    <w:rsid w:val="283A1201"/>
    <w:rsid w:val="283C2BCC"/>
    <w:rsid w:val="283F204C"/>
    <w:rsid w:val="283F446A"/>
    <w:rsid w:val="2840113F"/>
    <w:rsid w:val="28407048"/>
    <w:rsid w:val="28423D6D"/>
    <w:rsid w:val="28425FDA"/>
    <w:rsid w:val="28433F5A"/>
    <w:rsid w:val="28477659"/>
    <w:rsid w:val="284B7147"/>
    <w:rsid w:val="284C7177"/>
    <w:rsid w:val="28515E73"/>
    <w:rsid w:val="28542440"/>
    <w:rsid w:val="28582392"/>
    <w:rsid w:val="28595263"/>
    <w:rsid w:val="285A3310"/>
    <w:rsid w:val="285D6952"/>
    <w:rsid w:val="285D746B"/>
    <w:rsid w:val="286E58A0"/>
    <w:rsid w:val="28726D71"/>
    <w:rsid w:val="28746E9C"/>
    <w:rsid w:val="28760B56"/>
    <w:rsid w:val="287A36F4"/>
    <w:rsid w:val="287D4967"/>
    <w:rsid w:val="287F694B"/>
    <w:rsid w:val="288362B9"/>
    <w:rsid w:val="2885352F"/>
    <w:rsid w:val="28853A03"/>
    <w:rsid w:val="288551E7"/>
    <w:rsid w:val="28866781"/>
    <w:rsid w:val="28896B84"/>
    <w:rsid w:val="288B0749"/>
    <w:rsid w:val="288C5086"/>
    <w:rsid w:val="288D3427"/>
    <w:rsid w:val="288D5130"/>
    <w:rsid w:val="288E2034"/>
    <w:rsid w:val="288F4F38"/>
    <w:rsid w:val="288F6168"/>
    <w:rsid w:val="28902F18"/>
    <w:rsid w:val="289047D1"/>
    <w:rsid w:val="28914AE3"/>
    <w:rsid w:val="289240CB"/>
    <w:rsid w:val="289466FE"/>
    <w:rsid w:val="289608B5"/>
    <w:rsid w:val="28964FEA"/>
    <w:rsid w:val="289766E1"/>
    <w:rsid w:val="28985F92"/>
    <w:rsid w:val="289B1FE8"/>
    <w:rsid w:val="289B670E"/>
    <w:rsid w:val="289E0A9E"/>
    <w:rsid w:val="28A27D42"/>
    <w:rsid w:val="28A80261"/>
    <w:rsid w:val="28AD20C4"/>
    <w:rsid w:val="28B018E3"/>
    <w:rsid w:val="28B05368"/>
    <w:rsid w:val="28B07610"/>
    <w:rsid w:val="28B139DC"/>
    <w:rsid w:val="28B27332"/>
    <w:rsid w:val="28B27979"/>
    <w:rsid w:val="28B46C06"/>
    <w:rsid w:val="28B663A6"/>
    <w:rsid w:val="28B94EF1"/>
    <w:rsid w:val="28BB7800"/>
    <w:rsid w:val="28BD72A1"/>
    <w:rsid w:val="28C00BB4"/>
    <w:rsid w:val="28C50F38"/>
    <w:rsid w:val="28C52388"/>
    <w:rsid w:val="28C746A0"/>
    <w:rsid w:val="28C94902"/>
    <w:rsid w:val="28CA446B"/>
    <w:rsid w:val="28CF3A40"/>
    <w:rsid w:val="28CF7A7A"/>
    <w:rsid w:val="28D142EF"/>
    <w:rsid w:val="28D23530"/>
    <w:rsid w:val="28D87EBF"/>
    <w:rsid w:val="28D96127"/>
    <w:rsid w:val="28D9666D"/>
    <w:rsid w:val="28DA4193"/>
    <w:rsid w:val="28DC3FFA"/>
    <w:rsid w:val="28DC5CDF"/>
    <w:rsid w:val="28DD4AC2"/>
    <w:rsid w:val="28E31299"/>
    <w:rsid w:val="28E53263"/>
    <w:rsid w:val="28E81E44"/>
    <w:rsid w:val="28E97056"/>
    <w:rsid w:val="28EB0A0C"/>
    <w:rsid w:val="28EB2D9F"/>
    <w:rsid w:val="28F039B6"/>
    <w:rsid w:val="28F11C08"/>
    <w:rsid w:val="28F25980"/>
    <w:rsid w:val="28F51684"/>
    <w:rsid w:val="28F5228E"/>
    <w:rsid w:val="28F76A94"/>
    <w:rsid w:val="28F9647F"/>
    <w:rsid w:val="28FA11A9"/>
    <w:rsid w:val="28FB2E62"/>
    <w:rsid w:val="28FC4939"/>
    <w:rsid w:val="2900788F"/>
    <w:rsid w:val="290220EB"/>
    <w:rsid w:val="29032BAF"/>
    <w:rsid w:val="29041241"/>
    <w:rsid w:val="29045484"/>
    <w:rsid w:val="290C4C94"/>
    <w:rsid w:val="290F06CA"/>
    <w:rsid w:val="29167DF2"/>
    <w:rsid w:val="291D066E"/>
    <w:rsid w:val="291D0AD7"/>
    <w:rsid w:val="291D4652"/>
    <w:rsid w:val="291D5975"/>
    <w:rsid w:val="291F6078"/>
    <w:rsid w:val="2920429C"/>
    <w:rsid w:val="29205864"/>
    <w:rsid w:val="29206EB8"/>
    <w:rsid w:val="29211410"/>
    <w:rsid w:val="292402D4"/>
    <w:rsid w:val="29257B04"/>
    <w:rsid w:val="292673D8"/>
    <w:rsid w:val="292A4E20"/>
    <w:rsid w:val="292C2C40"/>
    <w:rsid w:val="292D0766"/>
    <w:rsid w:val="292E6621"/>
    <w:rsid w:val="292F3ECA"/>
    <w:rsid w:val="293146F9"/>
    <w:rsid w:val="29325D7D"/>
    <w:rsid w:val="29342AE1"/>
    <w:rsid w:val="29345F99"/>
    <w:rsid w:val="29387837"/>
    <w:rsid w:val="2939710B"/>
    <w:rsid w:val="293B60BD"/>
    <w:rsid w:val="293B6833"/>
    <w:rsid w:val="293D2848"/>
    <w:rsid w:val="293E2974"/>
    <w:rsid w:val="29411588"/>
    <w:rsid w:val="294A30C6"/>
    <w:rsid w:val="294F692F"/>
    <w:rsid w:val="294F6A46"/>
    <w:rsid w:val="29513166"/>
    <w:rsid w:val="29517B02"/>
    <w:rsid w:val="295201CD"/>
    <w:rsid w:val="29531E80"/>
    <w:rsid w:val="29543F45"/>
    <w:rsid w:val="29550782"/>
    <w:rsid w:val="295520AB"/>
    <w:rsid w:val="295871DD"/>
    <w:rsid w:val="29595666"/>
    <w:rsid w:val="295A4E7E"/>
    <w:rsid w:val="295B1778"/>
    <w:rsid w:val="295D742B"/>
    <w:rsid w:val="295D7DF6"/>
    <w:rsid w:val="295F546C"/>
    <w:rsid w:val="29610B9A"/>
    <w:rsid w:val="29631F4F"/>
    <w:rsid w:val="2965425E"/>
    <w:rsid w:val="29656152"/>
    <w:rsid w:val="2967011C"/>
    <w:rsid w:val="2967130D"/>
    <w:rsid w:val="29693E94"/>
    <w:rsid w:val="296A2E69"/>
    <w:rsid w:val="296D0E9C"/>
    <w:rsid w:val="29721D91"/>
    <w:rsid w:val="297264DC"/>
    <w:rsid w:val="2973408C"/>
    <w:rsid w:val="297350CA"/>
    <w:rsid w:val="2976035F"/>
    <w:rsid w:val="297A4C65"/>
    <w:rsid w:val="297F5466"/>
    <w:rsid w:val="29802F8C"/>
    <w:rsid w:val="29815C9D"/>
    <w:rsid w:val="2983264B"/>
    <w:rsid w:val="298425E0"/>
    <w:rsid w:val="298505A2"/>
    <w:rsid w:val="29874881"/>
    <w:rsid w:val="298C1452"/>
    <w:rsid w:val="298C1931"/>
    <w:rsid w:val="298C1B58"/>
    <w:rsid w:val="298C2815"/>
    <w:rsid w:val="298C41D5"/>
    <w:rsid w:val="298C6E96"/>
    <w:rsid w:val="298E2E52"/>
    <w:rsid w:val="298E38FB"/>
    <w:rsid w:val="298F4F7D"/>
    <w:rsid w:val="29911FCA"/>
    <w:rsid w:val="299535FE"/>
    <w:rsid w:val="29982E07"/>
    <w:rsid w:val="299B1B74"/>
    <w:rsid w:val="299B2C4B"/>
    <w:rsid w:val="29A0362E"/>
    <w:rsid w:val="29A06D14"/>
    <w:rsid w:val="29A30A29"/>
    <w:rsid w:val="29A50C45"/>
    <w:rsid w:val="29A64F72"/>
    <w:rsid w:val="29A850DE"/>
    <w:rsid w:val="29A9603F"/>
    <w:rsid w:val="29AB6F05"/>
    <w:rsid w:val="29AD77FE"/>
    <w:rsid w:val="29AE4785"/>
    <w:rsid w:val="29B1138A"/>
    <w:rsid w:val="29B35919"/>
    <w:rsid w:val="29BB5D72"/>
    <w:rsid w:val="29BD7D3C"/>
    <w:rsid w:val="29C11A35"/>
    <w:rsid w:val="29C13FF5"/>
    <w:rsid w:val="29C603E5"/>
    <w:rsid w:val="29CA071C"/>
    <w:rsid w:val="29CC4423"/>
    <w:rsid w:val="29CC4454"/>
    <w:rsid w:val="29CD3315"/>
    <w:rsid w:val="29CE6470"/>
    <w:rsid w:val="29CF6D5E"/>
    <w:rsid w:val="29D267C6"/>
    <w:rsid w:val="29D63A3A"/>
    <w:rsid w:val="29D8603F"/>
    <w:rsid w:val="29DB6414"/>
    <w:rsid w:val="29DD4580"/>
    <w:rsid w:val="29DF5F05"/>
    <w:rsid w:val="29E325E0"/>
    <w:rsid w:val="29E327E2"/>
    <w:rsid w:val="29E654E5"/>
    <w:rsid w:val="29E72BF1"/>
    <w:rsid w:val="29E9427B"/>
    <w:rsid w:val="29EB3B8F"/>
    <w:rsid w:val="29EC23D0"/>
    <w:rsid w:val="29EC681F"/>
    <w:rsid w:val="29ED1540"/>
    <w:rsid w:val="29F02C94"/>
    <w:rsid w:val="29F335B6"/>
    <w:rsid w:val="29F65415"/>
    <w:rsid w:val="29F80601"/>
    <w:rsid w:val="29F82D60"/>
    <w:rsid w:val="29F91633"/>
    <w:rsid w:val="29FB4684"/>
    <w:rsid w:val="29FC1D70"/>
    <w:rsid w:val="29FE6A8B"/>
    <w:rsid w:val="29FF72BC"/>
    <w:rsid w:val="29FF7448"/>
    <w:rsid w:val="2A014FCD"/>
    <w:rsid w:val="2A0370FB"/>
    <w:rsid w:val="2A050452"/>
    <w:rsid w:val="2A0C65CE"/>
    <w:rsid w:val="2A0D4843"/>
    <w:rsid w:val="2A101A3C"/>
    <w:rsid w:val="2A1039EA"/>
    <w:rsid w:val="2A131C1F"/>
    <w:rsid w:val="2A143BA5"/>
    <w:rsid w:val="2A16496E"/>
    <w:rsid w:val="2A1853B3"/>
    <w:rsid w:val="2A1A7565"/>
    <w:rsid w:val="2A1D0368"/>
    <w:rsid w:val="2A1D0455"/>
    <w:rsid w:val="2A1D4FD8"/>
    <w:rsid w:val="2A1D6A2D"/>
    <w:rsid w:val="2A20564D"/>
    <w:rsid w:val="2A247DBB"/>
    <w:rsid w:val="2A252BFB"/>
    <w:rsid w:val="2A275520"/>
    <w:rsid w:val="2A29132B"/>
    <w:rsid w:val="2A297499"/>
    <w:rsid w:val="2A2D4EC2"/>
    <w:rsid w:val="2A2E29E8"/>
    <w:rsid w:val="2A2F2AE2"/>
    <w:rsid w:val="2A2F4235"/>
    <w:rsid w:val="2A354836"/>
    <w:rsid w:val="2A356741"/>
    <w:rsid w:val="2A383867"/>
    <w:rsid w:val="2A383ED7"/>
    <w:rsid w:val="2A3D2C2B"/>
    <w:rsid w:val="2A3D50C6"/>
    <w:rsid w:val="2A41271B"/>
    <w:rsid w:val="2A4144C9"/>
    <w:rsid w:val="2A445284"/>
    <w:rsid w:val="2A452503"/>
    <w:rsid w:val="2A462CAC"/>
    <w:rsid w:val="2A465F84"/>
    <w:rsid w:val="2A483D97"/>
    <w:rsid w:val="2A490B9F"/>
    <w:rsid w:val="2A4C1706"/>
    <w:rsid w:val="2A4C2BDC"/>
    <w:rsid w:val="2A4E352B"/>
    <w:rsid w:val="2A5211B2"/>
    <w:rsid w:val="2A554E51"/>
    <w:rsid w:val="2A56476D"/>
    <w:rsid w:val="2A5661B2"/>
    <w:rsid w:val="2A571F3F"/>
    <w:rsid w:val="2A573CED"/>
    <w:rsid w:val="2A596F1F"/>
    <w:rsid w:val="2A5A1A71"/>
    <w:rsid w:val="2A5C7555"/>
    <w:rsid w:val="2A5D507B"/>
    <w:rsid w:val="2A5F68C5"/>
    <w:rsid w:val="2A60523F"/>
    <w:rsid w:val="2A612DBE"/>
    <w:rsid w:val="2A6603D4"/>
    <w:rsid w:val="2A68414C"/>
    <w:rsid w:val="2A6F0FD4"/>
    <w:rsid w:val="2A701253"/>
    <w:rsid w:val="2A704DAF"/>
    <w:rsid w:val="2A7177AD"/>
    <w:rsid w:val="2A72329F"/>
    <w:rsid w:val="2A724E38"/>
    <w:rsid w:val="2A750617"/>
    <w:rsid w:val="2A7B25CB"/>
    <w:rsid w:val="2A83562E"/>
    <w:rsid w:val="2A84085A"/>
    <w:rsid w:val="2A862824"/>
    <w:rsid w:val="2A864B7A"/>
    <w:rsid w:val="2A8800D4"/>
    <w:rsid w:val="2A8B2C4B"/>
    <w:rsid w:val="2A8C34AA"/>
    <w:rsid w:val="2A8D591B"/>
    <w:rsid w:val="2A8F323D"/>
    <w:rsid w:val="2A9270B0"/>
    <w:rsid w:val="2A970429"/>
    <w:rsid w:val="2A9767DF"/>
    <w:rsid w:val="2A990541"/>
    <w:rsid w:val="2A9E191C"/>
    <w:rsid w:val="2A9F0DE2"/>
    <w:rsid w:val="2AA126C7"/>
    <w:rsid w:val="2AA42CAA"/>
    <w:rsid w:val="2AA5000A"/>
    <w:rsid w:val="2AA57EA2"/>
    <w:rsid w:val="2AA635A6"/>
    <w:rsid w:val="2AA9013A"/>
    <w:rsid w:val="2AAA55F3"/>
    <w:rsid w:val="2AAB4039"/>
    <w:rsid w:val="2AAD464A"/>
    <w:rsid w:val="2AAD7DB8"/>
    <w:rsid w:val="2AAE4504"/>
    <w:rsid w:val="2AB03D89"/>
    <w:rsid w:val="2AB32CF1"/>
    <w:rsid w:val="2AB3504D"/>
    <w:rsid w:val="2AB365D7"/>
    <w:rsid w:val="2AB96756"/>
    <w:rsid w:val="2ABA4B08"/>
    <w:rsid w:val="2ABC6246"/>
    <w:rsid w:val="2AC103F0"/>
    <w:rsid w:val="2AC44C7D"/>
    <w:rsid w:val="2AC67AA6"/>
    <w:rsid w:val="2ACA2711"/>
    <w:rsid w:val="2ACA2E2B"/>
    <w:rsid w:val="2ACC569E"/>
    <w:rsid w:val="2ACE0C39"/>
    <w:rsid w:val="2ACF5F79"/>
    <w:rsid w:val="2AD03A9F"/>
    <w:rsid w:val="2AD21FCC"/>
    <w:rsid w:val="2AD26D6B"/>
    <w:rsid w:val="2AD329A6"/>
    <w:rsid w:val="2AD51A6C"/>
    <w:rsid w:val="2AD83A65"/>
    <w:rsid w:val="2ADA7AA2"/>
    <w:rsid w:val="2ADF6AD4"/>
    <w:rsid w:val="2AE05ACC"/>
    <w:rsid w:val="2AE31A25"/>
    <w:rsid w:val="2AE412F9"/>
    <w:rsid w:val="2AE56531"/>
    <w:rsid w:val="2AE80EC7"/>
    <w:rsid w:val="2AE8528D"/>
    <w:rsid w:val="2AEA3241"/>
    <w:rsid w:val="2AEA4B61"/>
    <w:rsid w:val="2AEB63FD"/>
    <w:rsid w:val="2AED63FF"/>
    <w:rsid w:val="2AEE2D7E"/>
    <w:rsid w:val="2AEE699B"/>
    <w:rsid w:val="2AF552B4"/>
    <w:rsid w:val="2AF61773"/>
    <w:rsid w:val="2AF70A94"/>
    <w:rsid w:val="2AF87773"/>
    <w:rsid w:val="2B011EAB"/>
    <w:rsid w:val="2B015E80"/>
    <w:rsid w:val="2B022465"/>
    <w:rsid w:val="2B033968"/>
    <w:rsid w:val="2B037DB0"/>
    <w:rsid w:val="2B05199B"/>
    <w:rsid w:val="2B081B54"/>
    <w:rsid w:val="2B0E388C"/>
    <w:rsid w:val="2B0E7B4C"/>
    <w:rsid w:val="2B11210D"/>
    <w:rsid w:val="2B124044"/>
    <w:rsid w:val="2B136D3B"/>
    <w:rsid w:val="2B1B00D3"/>
    <w:rsid w:val="2B1C0A93"/>
    <w:rsid w:val="2B1C7DB5"/>
    <w:rsid w:val="2B1D3CED"/>
    <w:rsid w:val="2B1D6E7D"/>
    <w:rsid w:val="2B1F4A29"/>
    <w:rsid w:val="2B223AA5"/>
    <w:rsid w:val="2B234BA1"/>
    <w:rsid w:val="2B2355B1"/>
    <w:rsid w:val="2B2365FF"/>
    <w:rsid w:val="2B253DEB"/>
    <w:rsid w:val="2B260645"/>
    <w:rsid w:val="2B26563C"/>
    <w:rsid w:val="2B26577D"/>
    <w:rsid w:val="2B271A58"/>
    <w:rsid w:val="2B275DB5"/>
    <w:rsid w:val="2B2838DB"/>
    <w:rsid w:val="2B2B6932"/>
    <w:rsid w:val="2B2C2923"/>
    <w:rsid w:val="2B2E1CBD"/>
    <w:rsid w:val="2B2F1207"/>
    <w:rsid w:val="2B3068FC"/>
    <w:rsid w:val="2B312790"/>
    <w:rsid w:val="2B3156C9"/>
    <w:rsid w:val="2B325EBC"/>
    <w:rsid w:val="2B345DDC"/>
    <w:rsid w:val="2B3721F6"/>
    <w:rsid w:val="2B380661"/>
    <w:rsid w:val="2B3C2EE3"/>
    <w:rsid w:val="2B3C509F"/>
    <w:rsid w:val="2B3D1954"/>
    <w:rsid w:val="2B3D7387"/>
    <w:rsid w:val="2B406D60"/>
    <w:rsid w:val="2B474CB2"/>
    <w:rsid w:val="2B477185"/>
    <w:rsid w:val="2B4A191A"/>
    <w:rsid w:val="2B4A5725"/>
    <w:rsid w:val="2B4C1378"/>
    <w:rsid w:val="2B4D3342"/>
    <w:rsid w:val="2B4E762A"/>
    <w:rsid w:val="2B4F352C"/>
    <w:rsid w:val="2B52718F"/>
    <w:rsid w:val="2B543FF6"/>
    <w:rsid w:val="2B560813"/>
    <w:rsid w:val="2B570380"/>
    <w:rsid w:val="2B59230C"/>
    <w:rsid w:val="2B5C3BD9"/>
    <w:rsid w:val="2B5E217B"/>
    <w:rsid w:val="2B5E72FD"/>
    <w:rsid w:val="2B60128D"/>
    <w:rsid w:val="2B612949"/>
    <w:rsid w:val="2B6366C1"/>
    <w:rsid w:val="2B651577"/>
    <w:rsid w:val="2B6575A8"/>
    <w:rsid w:val="2B6675DF"/>
    <w:rsid w:val="2B681F2A"/>
    <w:rsid w:val="2B6A7747"/>
    <w:rsid w:val="2B717030"/>
    <w:rsid w:val="2B76596E"/>
    <w:rsid w:val="2B774C09"/>
    <w:rsid w:val="2B79578F"/>
    <w:rsid w:val="2B7B1C5D"/>
    <w:rsid w:val="2B7D32A0"/>
    <w:rsid w:val="2B846E00"/>
    <w:rsid w:val="2B856638"/>
    <w:rsid w:val="2B88293B"/>
    <w:rsid w:val="2B8B585D"/>
    <w:rsid w:val="2B8C3E6A"/>
    <w:rsid w:val="2B8C65E1"/>
    <w:rsid w:val="2B8C79C6"/>
    <w:rsid w:val="2B911481"/>
    <w:rsid w:val="2B91322F"/>
    <w:rsid w:val="2B9176D3"/>
    <w:rsid w:val="2B92345A"/>
    <w:rsid w:val="2B93766D"/>
    <w:rsid w:val="2B960048"/>
    <w:rsid w:val="2B967EB6"/>
    <w:rsid w:val="2B972B79"/>
    <w:rsid w:val="2B9A53FD"/>
    <w:rsid w:val="2B9B40AD"/>
    <w:rsid w:val="2B9C6E0E"/>
    <w:rsid w:val="2BA016C4"/>
    <w:rsid w:val="2BA12E35"/>
    <w:rsid w:val="2BA246DE"/>
    <w:rsid w:val="2BA25AB2"/>
    <w:rsid w:val="2BA32F62"/>
    <w:rsid w:val="2BA33B3F"/>
    <w:rsid w:val="2BA47406"/>
    <w:rsid w:val="2BA90983"/>
    <w:rsid w:val="2BA911D6"/>
    <w:rsid w:val="2BA936A8"/>
    <w:rsid w:val="2BAC6B2B"/>
    <w:rsid w:val="2BB65AD1"/>
    <w:rsid w:val="2BB94533"/>
    <w:rsid w:val="2BC058C2"/>
    <w:rsid w:val="2BC2208C"/>
    <w:rsid w:val="2BC37160"/>
    <w:rsid w:val="2BC929C8"/>
    <w:rsid w:val="2BCB1E44"/>
    <w:rsid w:val="2BCC4267"/>
    <w:rsid w:val="2BCC47D0"/>
    <w:rsid w:val="2BCD523D"/>
    <w:rsid w:val="2BD32BF6"/>
    <w:rsid w:val="2BD42BA6"/>
    <w:rsid w:val="2BD63337"/>
    <w:rsid w:val="2BD96984"/>
    <w:rsid w:val="2BDA2E28"/>
    <w:rsid w:val="2BDA6ED2"/>
    <w:rsid w:val="2BDD46C6"/>
    <w:rsid w:val="2BE23A8A"/>
    <w:rsid w:val="2BE64E94"/>
    <w:rsid w:val="2BE710A1"/>
    <w:rsid w:val="2BE94349"/>
    <w:rsid w:val="2BEA0B91"/>
    <w:rsid w:val="2BEF61A7"/>
    <w:rsid w:val="2BF0291C"/>
    <w:rsid w:val="2BF26377"/>
    <w:rsid w:val="2BF31848"/>
    <w:rsid w:val="2BF57C61"/>
    <w:rsid w:val="2BF832AE"/>
    <w:rsid w:val="2BFB2D9E"/>
    <w:rsid w:val="2BFD6B16"/>
    <w:rsid w:val="2BFF2C20"/>
    <w:rsid w:val="2C004A80"/>
    <w:rsid w:val="2C012ED0"/>
    <w:rsid w:val="2C041C52"/>
    <w:rsid w:val="2C0734F1"/>
    <w:rsid w:val="2C076B02"/>
    <w:rsid w:val="2C0B6EB4"/>
    <w:rsid w:val="2C10781C"/>
    <w:rsid w:val="2C127AB6"/>
    <w:rsid w:val="2C154F49"/>
    <w:rsid w:val="2C161B48"/>
    <w:rsid w:val="2C1A5226"/>
    <w:rsid w:val="2C1C6886"/>
    <w:rsid w:val="2C1D31C7"/>
    <w:rsid w:val="2C200192"/>
    <w:rsid w:val="2C210363"/>
    <w:rsid w:val="2C22032B"/>
    <w:rsid w:val="2C22657D"/>
    <w:rsid w:val="2C244D24"/>
    <w:rsid w:val="2C251D36"/>
    <w:rsid w:val="2C2D495B"/>
    <w:rsid w:val="2C2F61F4"/>
    <w:rsid w:val="2C3047F6"/>
    <w:rsid w:val="2C315A5A"/>
    <w:rsid w:val="2C34181A"/>
    <w:rsid w:val="2C341A23"/>
    <w:rsid w:val="2C353A84"/>
    <w:rsid w:val="2C363DD6"/>
    <w:rsid w:val="2C3641F7"/>
    <w:rsid w:val="2C3B112F"/>
    <w:rsid w:val="2C3F4DAE"/>
    <w:rsid w:val="2C3F5795"/>
    <w:rsid w:val="2C3F6C80"/>
    <w:rsid w:val="2C3F7504"/>
    <w:rsid w:val="2C412EA7"/>
    <w:rsid w:val="2C446B6E"/>
    <w:rsid w:val="2C4544CA"/>
    <w:rsid w:val="2C466C2E"/>
    <w:rsid w:val="2C4B1C25"/>
    <w:rsid w:val="2C4E2650"/>
    <w:rsid w:val="2C500E78"/>
    <w:rsid w:val="2C506C46"/>
    <w:rsid w:val="2C510E4D"/>
    <w:rsid w:val="2C515727"/>
    <w:rsid w:val="2C560734"/>
    <w:rsid w:val="2C573621"/>
    <w:rsid w:val="2C5844E4"/>
    <w:rsid w:val="2C5A0B83"/>
    <w:rsid w:val="2C5F50DB"/>
    <w:rsid w:val="2C621505"/>
    <w:rsid w:val="2C630D27"/>
    <w:rsid w:val="2C646B95"/>
    <w:rsid w:val="2C672279"/>
    <w:rsid w:val="2C674F01"/>
    <w:rsid w:val="2C6956DB"/>
    <w:rsid w:val="2C69658D"/>
    <w:rsid w:val="2C6A6029"/>
    <w:rsid w:val="2C701096"/>
    <w:rsid w:val="2C701E9B"/>
    <w:rsid w:val="2C703D10"/>
    <w:rsid w:val="2C704DC8"/>
    <w:rsid w:val="2C744371"/>
    <w:rsid w:val="2C7530B9"/>
    <w:rsid w:val="2C765A11"/>
    <w:rsid w:val="2C770676"/>
    <w:rsid w:val="2C7C584B"/>
    <w:rsid w:val="2C7C7A3B"/>
    <w:rsid w:val="2C860CA6"/>
    <w:rsid w:val="2C892158"/>
    <w:rsid w:val="2C8B5ED0"/>
    <w:rsid w:val="2C8C3FE6"/>
    <w:rsid w:val="2C8E59C0"/>
    <w:rsid w:val="2C932201"/>
    <w:rsid w:val="2C944E7D"/>
    <w:rsid w:val="2C970AA7"/>
    <w:rsid w:val="2C976ADB"/>
    <w:rsid w:val="2C994A91"/>
    <w:rsid w:val="2C997E43"/>
    <w:rsid w:val="2C9B03F7"/>
    <w:rsid w:val="2C9E50C7"/>
    <w:rsid w:val="2C9F3729"/>
    <w:rsid w:val="2CA12FD2"/>
    <w:rsid w:val="2CA13213"/>
    <w:rsid w:val="2CA43917"/>
    <w:rsid w:val="2CA543CB"/>
    <w:rsid w:val="2CA70CCA"/>
    <w:rsid w:val="2CA820C1"/>
    <w:rsid w:val="2CA9376E"/>
    <w:rsid w:val="2CAD4098"/>
    <w:rsid w:val="2CAD4185"/>
    <w:rsid w:val="2CAD5ACE"/>
    <w:rsid w:val="2CAE5061"/>
    <w:rsid w:val="2CB01DDA"/>
    <w:rsid w:val="2CB177FA"/>
    <w:rsid w:val="2CB22211"/>
    <w:rsid w:val="2CB43679"/>
    <w:rsid w:val="2CB45382"/>
    <w:rsid w:val="2CB76CC5"/>
    <w:rsid w:val="2CBA142B"/>
    <w:rsid w:val="2CBA221A"/>
    <w:rsid w:val="2CBB095E"/>
    <w:rsid w:val="2CBE15C3"/>
    <w:rsid w:val="2CC413E2"/>
    <w:rsid w:val="2CC56724"/>
    <w:rsid w:val="2CC61A09"/>
    <w:rsid w:val="2CC6515A"/>
    <w:rsid w:val="2CCC1161"/>
    <w:rsid w:val="2CCC1607"/>
    <w:rsid w:val="2CCD7CE6"/>
    <w:rsid w:val="2CCE3D10"/>
    <w:rsid w:val="2CD177B2"/>
    <w:rsid w:val="2CD24C75"/>
    <w:rsid w:val="2CD33D7B"/>
    <w:rsid w:val="2CD3475D"/>
    <w:rsid w:val="2CD47877"/>
    <w:rsid w:val="2CD667D8"/>
    <w:rsid w:val="2CD74330"/>
    <w:rsid w:val="2CDA0C05"/>
    <w:rsid w:val="2CDA7F02"/>
    <w:rsid w:val="2CDE6CDC"/>
    <w:rsid w:val="2CDF621C"/>
    <w:rsid w:val="2CE24233"/>
    <w:rsid w:val="2CE37ABA"/>
    <w:rsid w:val="2CEA10B5"/>
    <w:rsid w:val="2CEB2B60"/>
    <w:rsid w:val="2CEB4BC0"/>
    <w:rsid w:val="2CF021D7"/>
    <w:rsid w:val="2CF33459"/>
    <w:rsid w:val="2CF6702D"/>
    <w:rsid w:val="2CF8397D"/>
    <w:rsid w:val="2CFE2C12"/>
    <w:rsid w:val="2D006EA4"/>
    <w:rsid w:val="2D016192"/>
    <w:rsid w:val="2D071354"/>
    <w:rsid w:val="2D083727"/>
    <w:rsid w:val="2D084C56"/>
    <w:rsid w:val="2D096931"/>
    <w:rsid w:val="2D0A14EA"/>
    <w:rsid w:val="2D0A3D77"/>
    <w:rsid w:val="2D0D2D89"/>
    <w:rsid w:val="2D0D4B37"/>
    <w:rsid w:val="2D0E2176"/>
    <w:rsid w:val="2D0F6B01"/>
    <w:rsid w:val="2D1252E3"/>
    <w:rsid w:val="2D165701"/>
    <w:rsid w:val="2D1A3215"/>
    <w:rsid w:val="2D1A7254"/>
    <w:rsid w:val="2D1B36F8"/>
    <w:rsid w:val="2D1C121E"/>
    <w:rsid w:val="2D1E21C7"/>
    <w:rsid w:val="2D2065DD"/>
    <w:rsid w:val="2D2108DD"/>
    <w:rsid w:val="2D214A86"/>
    <w:rsid w:val="2D254477"/>
    <w:rsid w:val="2D2615EA"/>
    <w:rsid w:val="2D263A1E"/>
    <w:rsid w:val="2D265EC5"/>
    <w:rsid w:val="2D2C5649"/>
    <w:rsid w:val="2D306223"/>
    <w:rsid w:val="2D34440D"/>
    <w:rsid w:val="2D37143A"/>
    <w:rsid w:val="2D38259A"/>
    <w:rsid w:val="2D3863B1"/>
    <w:rsid w:val="2D39592C"/>
    <w:rsid w:val="2D3C5DD5"/>
    <w:rsid w:val="2D3E6ED4"/>
    <w:rsid w:val="2D3F4B1C"/>
    <w:rsid w:val="2D404F0C"/>
    <w:rsid w:val="2D41257F"/>
    <w:rsid w:val="2D4241AC"/>
    <w:rsid w:val="2D436661"/>
    <w:rsid w:val="2D4542D1"/>
    <w:rsid w:val="2D4B2059"/>
    <w:rsid w:val="2D4B38B1"/>
    <w:rsid w:val="2D4D13D7"/>
    <w:rsid w:val="2D545B4E"/>
    <w:rsid w:val="2D5929E3"/>
    <w:rsid w:val="2D5A3222"/>
    <w:rsid w:val="2D5A560D"/>
    <w:rsid w:val="2D5B1D46"/>
    <w:rsid w:val="2D5E3645"/>
    <w:rsid w:val="2D6230D5"/>
    <w:rsid w:val="2D684463"/>
    <w:rsid w:val="2D6913A6"/>
    <w:rsid w:val="2D691711"/>
    <w:rsid w:val="2D6A3D37"/>
    <w:rsid w:val="2D6A6448"/>
    <w:rsid w:val="2D6D7CCB"/>
    <w:rsid w:val="2D727090"/>
    <w:rsid w:val="2D751D15"/>
    <w:rsid w:val="2D75239F"/>
    <w:rsid w:val="2D781970"/>
    <w:rsid w:val="2D7B083B"/>
    <w:rsid w:val="2D7B2D97"/>
    <w:rsid w:val="2D7C1CBC"/>
    <w:rsid w:val="2D7E652C"/>
    <w:rsid w:val="2D7F44ED"/>
    <w:rsid w:val="2D801E30"/>
    <w:rsid w:val="2D803FF6"/>
    <w:rsid w:val="2D8079FF"/>
    <w:rsid w:val="2D820A6D"/>
    <w:rsid w:val="2D863822"/>
    <w:rsid w:val="2D880C70"/>
    <w:rsid w:val="2D8A6187"/>
    <w:rsid w:val="2D8A7CE6"/>
    <w:rsid w:val="2D8B00C8"/>
    <w:rsid w:val="2D8C1F00"/>
    <w:rsid w:val="2D8D0104"/>
    <w:rsid w:val="2D8F1B7C"/>
    <w:rsid w:val="2D904D31"/>
    <w:rsid w:val="2D922339"/>
    <w:rsid w:val="2D960688"/>
    <w:rsid w:val="2D964815"/>
    <w:rsid w:val="2D99286E"/>
    <w:rsid w:val="2D9B7DA2"/>
    <w:rsid w:val="2D9C09E4"/>
    <w:rsid w:val="2D9E14AC"/>
    <w:rsid w:val="2D9E56F5"/>
    <w:rsid w:val="2DA21289"/>
    <w:rsid w:val="2DA74F8B"/>
    <w:rsid w:val="2DA87210"/>
    <w:rsid w:val="2DA9095B"/>
    <w:rsid w:val="2DAB2A05"/>
    <w:rsid w:val="2DAF5BEE"/>
    <w:rsid w:val="2DB07B67"/>
    <w:rsid w:val="2DB14137"/>
    <w:rsid w:val="2DB2578B"/>
    <w:rsid w:val="2DB3170C"/>
    <w:rsid w:val="2DB3340F"/>
    <w:rsid w:val="2DB364E6"/>
    <w:rsid w:val="2DB37974"/>
    <w:rsid w:val="2DB41456"/>
    <w:rsid w:val="2DB640B7"/>
    <w:rsid w:val="2DB651CE"/>
    <w:rsid w:val="2DB770D2"/>
    <w:rsid w:val="2DB876AB"/>
    <w:rsid w:val="2DBA2F11"/>
    <w:rsid w:val="2DBB496B"/>
    <w:rsid w:val="2DBD1B91"/>
    <w:rsid w:val="2DC01BA9"/>
    <w:rsid w:val="2DC07372"/>
    <w:rsid w:val="2DC108D3"/>
    <w:rsid w:val="2DC21DC5"/>
    <w:rsid w:val="2DC45B3D"/>
    <w:rsid w:val="2DC77C2F"/>
    <w:rsid w:val="2DCC67A0"/>
    <w:rsid w:val="2DCD5564"/>
    <w:rsid w:val="2DCE63C1"/>
    <w:rsid w:val="2DD35D80"/>
    <w:rsid w:val="2DD37B2E"/>
    <w:rsid w:val="2DD437E2"/>
    <w:rsid w:val="2DD45655"/>
    <w:rsid w:val="2DD54D53"/>
    <w:rsid w:val="2DDD09AD"/>
    <w:rsid w:val="2DE33544"/>
    <w:rsid w:val="2DE92DD2"/>
    <w:rsid w:val="2DED7FEE"/>
    <w:rsid w:val="2DEE26AF"/>
    <w:rsid w:val="2DEE2BBA"/>
    <w:rsid w:val="2DEF30FF"/>
    <w:rsid w:val="2DEF7CA9"/>
    <w:rsid w:val="2DF04CC2"/>
    <w:rsid w:val="2DF14F99"/>
    <w:rsid w:val="2DF17408"/>
    <w:rsid w:val="2DF567BC"/>
    <w:rsid w:val="2DF56AB8"/>
    <w:rsid w:val="2DF61A6F"/>
    <w:rsid w:val="2DF63D27"/>
    <w:rsid w:val="2DFC5A56"/>
    <w:rsid w:val="2DFD6BD3"/>
    <w:rsid w:val="2DFF51EF"/>
    <w:rsid w:val="2DFF6B75"/>
    <w:rsid w:val="2E003CD9"/>
    <w:rsid w:val="2E0363BB"/>
    <w:rsid w:val="2E0B1223"/>
    <w:rsid w:val="2E0E6DB8"/>
    <w:rsid w:val="2E144AF5"/>
    <w:rsid w:val="2E144D73"/>
    <w:rsid w:val="2E175765"/>
    <w:rsid w:val="2E1C22D9"/>
    <w:rsid w:val="2E1D62A1"/>
    <w:rsid w:val="2E1D6FFC"/>
    <w:rsid w:val="2E1E3201"/>
    <w:rsid w:val="2E1E42FC"/>
    <w:rsid w:val="2E207609"/>
    <w:rsid w:val="2E251358"/>
    <w:rsid w:val="2E273825"/>
    <w:rsid w:val="2E2B7C76"/>
    <w:rsid w:val="2E2C28D1"/>
    <w:rsid w:val="2E310CF9"/>
    <w:rsid w:val="2E3621D6"/>
    <w:rsid w:val="2E3662A3"/>
    <w:rsid w:val="2E3809ED"/>
    <w:rsid w:val="2E3F023E"/>
    <w:rsid w:val="2E4125AC"/>
    <w:rsid w:val="2E444E4E"/>
    <w:rsid w:val="2E4707B8"/>
    <w:rsid w:val="2E4C37F6"/>
    <w:rsid w:val="2E4D1436"/>
    <w:rsid w:val="2E520C00"/>
    <w:rsid w:val="2E544B2B"/>
    <w:rsid w:val="2E5549E7"/>
    <w:rsid w:val="2E591A83"/>
    <w:rsid w:val="2E594427"/>
    <w:rsid w:val="2E5F1BB6"/>
    <w:rsid w:val="2E647750"/>
    <w:rsid w:val="2E667F96"/>
    <w:rsid w:val="2E6966E5"/>
    <w:rsid w:val="2E6B752F"/>
    <w:rsid w:val="2E6D6F21"/>
    <w:rsid w:val="2E6E426D"/>
    <w:rsid w:val="2E6F3657"/>
    <w:rsid w:val="2E6F717C"/>
    <w:rsid w:val="2E7263DE"/>
    <w:rsid w:val="2E751E20"/>
    <w:rsid w:val="2E78465C"/>
    <w:rsid w:val="2E79420C"/>
    <w:rsid w:val="2E802DE5"/>
    <w:rsid w:val="2E8066CE"/>
    <w:rsid w:val="2E81758A"/>
    <w:rsid w:val="2E8226AB"/>
    <w:rsid w:val="2E84076E"/>
    <w:rsid w:val="2E8502E4"/>
    <w:rsid w:val="2E857065"/>
    <w:rsid w:val="2E8630D3"/>
    <w:rsid w:val="2E892D65"/>
    <w:rsid w:val="2E8D5AB3"/>
    <w:rsid w:val="2E903C71"/>
    <w:rsid w:val="2E913546"/>
    <w:rsid w:val="2E9279E9"/>
    <w:rsid w:val="2E944473"/>
    <w:rsid w:val="2E945AE0"/>
    <w:rsid w:val="2E9476B6"/>
    <w:rsid w:val="2E9848D4"/>
    <w:rsid w:val="2E9A064C"/>
    <w:rsid w:val="2E9C0EB5"/>
    <w:rsid w:val="2E9C72AB"/>
    <w:rsid w:val="2E9E0953"/>
    <w:rsid w:val="2E9F3EB4"/>
    <w:rsid w:val="2EA175A8"/>
    <w:rsid w:val="2EA778FE"/>
    <w:rsid w:val="2EAA5D15"/>
    <w:rsid w:val="2EAC4C27"/>
    <w:rsid w:val="2EAD053B"/>
    <w:rsid w:val="2EAE51C3"/>
    <w:rsid w:val="2EB42CCA"/>
    <w:rsid w:val="2EB43E0B"/>
    <w:rsid w:val="2EB56ADD"/>
    <w:rsid w:val="2EB81A02"/>
    <w:rsid w:val="2EBA484A"/>
    <w:rsid w:val="2EC11008"/>
    <w:rsid w:val="2EC15CD8"/>
    <w:rsid w:val="2EC3676C"/>
    <w:rsid w:val="2EC851B9"/>
    <w:rsid w:val="2EC92CDF"/>
    <w:rsid w:val="2ECD27D0"/>
    <w:rsid w:val="2ECF024A"/>
    <w:rsid w:val="2ECF5480"/>
    <w:rsid w:val="2ED24F47"/>
    <w:rsid w:val="2ED54CB2"/>
    <w:rsid w:val="2ED55B28"/>
    <w:rsid w:val="2ED6250C"/>
    <w:rsid w:val="2ED85DFF"/>
    <w:rsid w:val="2EDE2C2F"/>
    <w:rsid w:val="2EDF2503"/>
    <w:rsid w:val="2EE0229F"/>
    <w:rsid w:val="2EE127D9"/>
    <w:rsid w:val="2EE1627B"/>
    <w:rsid w:val="2EE31FF3"/>
    <w:rsid w:val="2EE61AE3"/>
    <w:rsid w:val="2EE63CA0"/>
    <w:rsid w:val="2EEB1B50"/>
    <w:rsid w:val="2EEB3364"/>
    <w:rsid w:val="2EEC71D5"/>
    <w:rsid w:val="2EED1C49"/>
    <w:rsid w:val="2EED4C20"/>
    <w:rsid w:val="2EED54A9"/>
    <w:rsid w:val="2EEE0998"/>
    <w:rsid w:val="2EEE0D17"/>
    <w:rsid w:val="2EEE789A"/>
    <w:rsid w:val="2EEF14B5"/>
    <w:rsid w:val="2EF13E79"/>
    <w:rsid w:val="2EF22236"/>
    <w:rsid w:val="2EF35FAE"/>
    <w:rsid w:val="2EF83961"/>
    <w:rsid w:val="2EFA10EB"/>
    <w:rsid w:val="2EFC4E63"/>
    <w:rsid w:val="2EFD0D5F"/>
    <w:rsid w:val="2F0104A0"/>
    <w:rsid w:val="2F032695"/>
    <w:rsid w:val="2F04208C"/>
    <w:rsid w:val="2F0549B7"/>
    <w:rsid w:val="2F05640D"/>
    <w:rsid w:val="2F063F34"/>
    <w:rsid w:val="2F0804D0"/>
    <w:rsid w:val="2F081A5A"/>
    <w:rsid w:val="2F0B2942"/>
    <w:rsid w:val="2F0E22E5"/>
    <w:rsid w:val="2F0F7F5B"/>
    <w:rsid w:val="2F1031FD"/>
    <w:rsid w:val="2F10604D"/>
    <w:rsid w:val="2F1200EA"/>
    <w:rsid w:val="2F120687"/>
    <w:rsid w:val="2F195A15"/>
    <w:rsid w:val="2F1A353B"/>
    <w:rsid w:val="2F215261"/>
    <w:rsid w:val="2F224087"/>
    <w:rsid w:val="2F2B3427"/>
    <w:rsid w:val="2F2E5C90"/>
    <w:rsid w:val="2F2F1E32"/>
    <w:rsid w:val="2F305F8A"/>
    <w:rsid w:val="2F307ED3"/>
    <w:rsid w:val="2F315179"/>
    <w:rsid w:val="2F3445FD"/>
    <w:rsid w:val="2F3565C7"/>
    <w:rsid w:val="2F3A3BDD"/>
    <w:rsid w:val="2F3B476C"/>
    <w:rsid w:val="2F3C5BA7"/>
    <w:rsid w:val="2F3F11F4"/>
    <w:rsid w:val="2F3F31FA"/>
    <w:rsid w:val="2F40167C"/>
    <w:rsid w:val="2F4176C0"/>
    <w:rsid w:val="2F43561E"/>
    <w:rsid w:val="2F4A54EC"/>
    <w:rsid w:val="2F4D68C1"/>
    <w:rsid w:val="2F4D6B3F"/>
    <w:rsid w:val="2F500347"/>
    <w:rsid w:val="2F520003"/>
    <w:rsid w:val="2F543CE3"/>
    <w:rsid w:val="2F5514A4"/>
    <w:rsid w:val="2F557529"/>
    <w:rsid w:val="2F5810C7"/>
    <w:rsid w:val="2F590507"/>
    <w:rsid w:val="2F5C3B54"/>
    <w:rsid w:val="2F5C7FF7"/>
    <w:rsid w:val="2F622822"/>
    <w:rsid w:val="2F623828"/>
    <w:rsid w:val="2F633D0C"/>
    <w:rsid w:val="2F634EE2"/>
    <w:rsid w:val="2F645DC2"/>
    <w:rsid w:val="2F6853E0"/>
    <w:rsid w:val="2F6B12EF"/>
    <w:rsid w:val="2F6C034E"/>
    <w:rsid w:val="2F6D3FB3"/>
    <w:rsid w:val="2F7166FB"/>
    <w:rsid w:val="2F717F7B"/>
    <w:rsid w:val="2F735348"/>
    <w:rsid w:val="2F761A2B"/>
    <w:rsid w:val="2F79720B"/>
    <w:rsid w:val="2F7B047E"/>
    <w:rsid w:val="2F836C86"/>
    <w:rsid w:val="2F8512FC"/>
    <w:rsid w:val="2F866E22"/>
    <w:rsid w:val="2F8F217B"/>
    <w:rsid w:val="2F8F508B"/>
    <w:rsid w:val="2F910603"/>
    <w:rsid w:val="2F940B54"/>
    <w:rsid w:val="2F973CB1"/>
    <w:rsid w:val="2F994DA8"/>
    <w:rsid w:val="2F9D3320"/>
    <w:rsid w:val="2FA01C92"/>
    <w:rsid w:val="2FA044B9"/>
    <w:rsid w:val="2FA13583"/>
    <w:rsid w:val="2FA43384"/>
    <w:rsid w:val="2FA47B50"/>
    <w:rsid w:val="2FA5374C"/>
    <w:rsid w:val="2FA774C5"/>
    <w:rsid w:val="2FAA48BF"/>
    <w:rsid w:val="2FAB23D8"/>
    <w:rsid w:val="2FAC6889"/>
    <w:rsid w:val="2FAE1621"/>
    <w:rsid w:val="2FAE2817"/>
    <w:rsid w:val="2FAF280D"/>
    <w:rsid w:val="2FAF5988"/>
    <w:rsid w:val="2FB10A2E"/>
    <w:rsid w:val="2FB36BDA"/>
    <w:rsid w:val="2FB40AFB"/>
    <w:rsid w:val="2FB4573E"/>
    <w:rsid w:val="2FBB7102"/>
    <w:rsid w:val="2FBD0D80"/>
    <w:rsid w:val="2FBD1CCA"/>
    <w:rsid w:val="2FBF6B46"/>
    <w:rsid w:val="2FC02334"/>
    <w:rsid w:val="2FC04AC3"/>
    <w:rsid w:val="2FC13683"/>
    <w:rsid w:val="2FC17E5A"/>
    <w:rsid w:val="2FC55B9D"/>
    <w:rsid w:val="2FCC573B"/>
    <w:rsid w:val="2FCE330D"/>
    <w:rsid w:val="2FCE5B09"/>
    <w:rsid w:val="2FCF4325"/>
    <w:rsid w:val="2FD065E6"/>
    <w:rsid w:val="2FD55397"/>
    <w:rsid w:val="2FD830F5"/>
    <w:rsid w:val="2FD90F1D"/>
    <w:rsid w:val="2FD96870"/>
    <w:rsid w:val="2FDB69CB"/>
    <w:rsid w:val="2FE07B7F"/>
    <w:rsid w:val="2FE14345"/>
    <w:rsid w:val="2FE3018B"/>
    <w:rsid w:val="2FE35EDC"/>
    <w:rsid w:val="2FE52ED2"/>
    <w:rsid w:val="2FE958F9"/>
    <w:rsid w:val="2FEA73B1"/>
    <w:rsid w:val="2FED0C50"/>
    <w:rsid w:val="2FF206FB"/>
    <w:rsid w:val="2FF344B8"/>
    <w:rsid w:val="2FF475A9"/>
    <w:rsid w:val="2FF5762F"/>
    <w:rsid w:val="2FF8078F"/>
    <w:rsid w:val="2FFA19EE"/>
    <w:rsid w:val="2FFB0C50"/>
    <w:rsid w:val="2FFD70E5"/>
    <w:rsid w:val="300246FB"/>
    <w:rsid w:val="30030473"/>
    <w:rsid w:val="30031424"/>
    <w:rsid w:val="3005551A"/>
    <w:rsid w:val="300A230D"/>
    <w:rsid w:val="301037E8"/>
    <w:rsid w:val="30140129"/>
    <w:rsid w:val="301C5569"/>
    <w:rsid w:val="301D1E6D"/>
    <w:rsid w:val="301D2465"/>
    <w:rsid w:val="301D78A0"/>
    <w:rsid w:val="3021158F"/>
    <w:rsid w:val="3024064E"/>
    <w:rsid w:val="30290836"/>
    <w:rsid w:val="30290845"/>
    <w:rsid w:val="302F0B0B"/>
    <w:rsid w:val="3030449F"/>
    <w:rsid w:val="3030640B"/>
    <w:rsid w:val="30313232"/>
    <w:rsid w:val="30314FE0"/>
    <w:rsid w:val="30323DAF"/>
    <w:rsid w:val="30343786"/>
    <w:rsid w:val="30355F2B"/>
    <w:rsid w:val="30393E95"/>
    <w:rsid w:val="30405223"/>
    <w:rsid w:val="30405938"/>
    <w:rsid w:val="304271ED"/>
    <w:rsid w:val="30474E25"/>
    <w:rsid w:val="304765B2"/>
    <w:rsid w:val="30477ABC"/>
    <w:rsid w:val="304A5C13"/>
    <w:rsid w:val="304D4E28"/>
    <w:rsid w:val="304E5B92"/>
    <w:rsid w:val="3054238F"/>
    <w:rsid w:val="305527B8"/>
    <w:rsid w:val="30556CEE"/>
    <w:rsid w:val="3056190F"/>
    <w:rsid w:val="30580BC9"/>
    <w:rsid w:val="30590093"/>
    <w:rsid w:val="305905AC"/>
    <w:rsid w:val="30595A17"/>
    <w:rsid w:val="305D382D"/>
    <w:rsid w:val="305E3B04"/>
    <w:rsid w:val="30615592"/>
    <w:rsid w:val="30637454"/>
    <w:rsid w:val="306471D8"/>
    <w:rsid w:val="30671753"/>
    <w:rsid w:val="30673F96"/>
    <w:rsid w:val="306929CC"/>
    <w:rsid w:val="306D2405"/>
    <w:rsid w:val="30722814"/>
    <w:rsid w:val="3076379E"/>
    <w:rsid w:val="307933B7"/>
    <w:rsid w:val="30793568"/>
    <w:rsid w:val="307B625B"/>
    <w:rsid w:val="307C4ECB"/>
    <w:rsid w:val="307F543C"/>
    <w:rsid w:val="308159A1"/>
    <w:rsid w:val="30823A8E"/>
    <w:rsid w:val="308275EA"/>
    <w:rsid w:val="30831EA2"/>
    <w:rsid w:val="308570DA"/>
    <w:rsid w:val="308656FE"/>
    <w:rsid w:val="30872E52"/>
    <w:rsid w:val="30894E1C"/>
    <w:rsid w:val="308A24AF"/>
    <w:rsid w:val="308A6AAE"/>
    <w:rsid w:val="308F6C0C"/>
    <w:rsid w:val="30915A7F"/>
    <w:rsid w:val="30926847"/>
    <w:rsid w:val="30964F3A"/>
    <w:rsid w:val="309805B5"/>
    <w:rsid w:val="309817B5"/>
    <w:rsid w:val="30984FED"/>
    <w:rsid w:val="30992725"/>
    <w:rsid w:val="309A02D0"/>
    <w:rsid w:val="309A2B85"/>
    <w:rsid w:val="309B6454"/>
    <w:rsid w:val="309C1849"/>
    <w:rsid w:val="30A442A0"/>
    <w:rsid w:val="30A47B90"/>
    <w:rsid w:val="30A57A93"/>
    <w:rsid w:val="30A65F29"/>
    <w:rsid w:val="30B11C7D"/>
    <w:rsid w:val="30B26121"/>
    <w:rsid w:val="30B359F5"/>
    <w:rsid w:val="30B4002F"/>
    <w:rsid w:val="30B50843"/>
    <w:rsid w:val="30B55FE4"/>
    <w:rsid w:val="30B64B76"/>
    <w:rsid w:val="30B64BF7"/>
    <w:rsid w:val="30B67293"/>
    <w:rsid w:val="30BA43B4"/>
    <w:rsid w:val="30BC3524"/>
    <w:rsid w:val="30C02924"/>
    <w:rsid w:val="30C07629"/>
    <w:rsid w:val="30C209E7"/>
    <w:rsid w:val="30C21D5E"/>
    <w:rsid w:val="30C31DCB"/>
    <w:rsid w:val="30C4467E"/>
    <w:rsid w:val="30C57438"/>
    <w:rsid w:val="30C578A8"/>
    <w:rsid w:val="30C871F2"/>
    <w:rsid w:val="30C94A0B"/>
    <w:rsid w:val="30C96FC7"/>
    <w:rsid w:val="30CC4D09"/>
    <w:rsid w:val="30D047F9"/>
    <w:rsid w:val="30D12648"/>
    <w:rsid w:val="30D76067"/>
    <w:rsid w:val="30DA11D4"/>
    <w:rsid w:val="30DA158E"/>
    <w:rsid w:val="30DA1835"/>
    <w:rsid w:val="30DB6CFA"/>
    <w:rsid w:val="30DE3063"/>
    <w:rsid w:val="30DF7E1A"/>
    <w:rsid w:val="30E04043"/>
    <w:rsid w:val="30E3452C"/>
    <w:rsid w:val="30E524F2"/>
    <w:rsid w:val="30E72737"/>
    <w:rsid w:val="30E819FE"/>
    <w:rsid w:val="30E97669"/>
    <w:rsid w:val="30ED0320"/>
    <w:rsid w:val="30F06C49"/>
    <w:rsid w:val="30F20F6E"/>
    <w:rsid w:val="30F304D8"/>
    <w:rsid w:val="30F304E8"/>
    <w:rsid w:val="30F45D92"/>
    <w:rsid w:val="30F5330E"/>
    <w:rsid w:val="30F5677A"/>
    <w:rsid w:val="30FD4EC2"/>
    <w:rsid w:val="30FE22C7"/>
    <w:rsid w:val="31012C04"/>
    <w:rsid w:val="3102072B"/>
    <w:rsid w:val="3103697D"/>
    <w:rsid w:val="31046251"/>
    <w:rsid w:val="31053F63"/>
    <w:rsid w:val="310821E5"/>
    <w:rsid w:val="31085FB2"/>
    <w:rsid w:val="31095983"/>
    <w:rsid w:val="310B4B2F"/>
    <w:rsid w:val="310C040A"/>
    <w:rsid w:val="310E5794"/>
    <w:rsid w:val="310F2275"/>
    <w:rsid w:val="31101099"/>
    <w:rsid w:val="31123DE6"/>
    <w:rsid w:val="31140B8A"/>
    <w:rsid w:val="31150C68"/>
    <w:rsid w:val="3115225F"/>
    <w:rsid w:val="31175F84"/>
    <w:rsid w:val="311A10EE"/>
    <w:rsid w:val="311E2ED7"/>
    <w:rsid w:val="311F12DD"/>
    <w:rsid w:val="3122738A"/>
    <w:rsid w:val="31254523"/>
    <w:rsid w:val="312763BF"/>
    <w:rsid w:val="31280191"/>
    <w:rsid w:val="3129496F"/>
    <w:rsid w:val="312A04F6"/>
    <w:rsid w:val="312E6695"/>
    <w:rsid w:val="31335762"/>
    <w:rsid w:val="31345AFA"/>
    <w:rsid w:val="31352B18"/>
    <w:rsid w:val="31355DEB"/>
    <w:rsid w:val="31371D9A"/>
    <w:rsid w:val="3140197F"/>
    <w:rsid w:val="314111E6"/>
    <w:rsid w:val="31415D6F"/>
    <w:rsid w:val="31440D43"/>
    <w:rsid w:val="31440F6B"/>
    <w:rsid w:val="31466869"/>
    <w:rsid w:val="31470A23"/>
    <w:rsid w:val="31480833"/>
    <w:rsid w:val="314843DC"/>
    <w:rsid w:val="3149464F"/>
    <w:rsid w:val="314A6AF9"/>
    <w:rsid w:val="314E07A0"/>
    <w:rsid w:val="314E1DE7"/>
    <w:rsid w:val="314F1BC2"/>
    <w:rsid w:val="31511C56"/>
    <w:rsid w:val="315144CB"/>
    <w:rsid w:val="31520CED"/>
    <w:rsid w:val="3153241E"/>
    <w:rsid w:val="315619EE"/>
    <w:rsid w:val="315A1DFC"/>
    <w:rsid w:val="315C1206"/>
    <w:rsid w:val="315C449C"/>
    <w:rsid w:val="3162698B"/>
    <w:rsid w:val="3168719F"/>
    <w:rsid w:val="316B0E08"/>
    <w:rsid w:val="316F477E"/>
    <w:rsid w:val="31705FC1"/>
    <w:rsid w:val="317653A0"/>
    <w:rsid w:val="31780A8B"/>
    <w:rsid w:val="317811BB"/>
    <w:rsid w:val="317A6513"/>
    <w:rsid w:val="317E64D3"/>
    <w:rsid w:val="31807FCD"/>
    <w:rsid w:val="31815AF3"/>
    <w:rsid w:val="31833619"/>
    <w:rsid w:val="31865B5D"/>
    <w:rsid w:val="318850D4"/>
    <w:rsid w:val="318C280E"/>
    <w:rsid w:val="318D26EA"/>
    <w:rsid w:val="318E55E7"/>
    <w:rsid w:val="318F3278"/>
    <w:rsid w:val="31945D3E"/>
    <w:rsid w:val="31973569"/>
    <w:rsid w:val="319B0955"/>
    <w:rsid w:val="319B4E07"/>
    <w:rsid w:val="319D4FDA"/>
    <w:rsid w:val="319E5E19"/>
    <w:rsid w:val="31A521C2"/>
    <w:rsid w:val="31A56C58"/>
    <w:rsid w:val="31A67308"/>
    <w:rsid w:val="31A71461"/>
    <w:rsid w:val="31A80DC3"/>
    <w:rsid w:val="31A87524"/>
    <w:rsid w:val="31A876A2"/>
    <w:rsid w:val="31AA6DF8"/>
    <w:rsid w:val="31B12600"/>
    <w:rsid w:val="31B45EC9"/>
    <w:rsid w:val="31B62B07"/>
    <w:rsid w:val="31B82709"/>
    <w:rsid w:val="31BA1C29"/>
    <w:rsid w:val="31BF6451"/>
    <w:rsid w:val="31C04363"/>
    <w:rsid w:val="31C20F5B"/>
    <w:rsid w:val="31C2706E"/>
    <w:rsid w:val="31CB02E6"/>
    <w:rsid w:val="31CB082A"/>
    <w:rsid w:val="31CB6D6E"/>
    <w:rsid w:val="31CC3212"/>
    <w:rsid w:val="31CC4FC0"/>
    <w:rsid w:val="31D05482"/>
    <w:rsid w:val="31D10C1B"/>
    <w:rsid w:val="31D125D7"/>
    <w:rsid w:val="31D26714"/>
    <w:rsid w:val="31D40319"/>
    <w:rsid w:val="31D51BD1"/>
    <w:rsid w:val="31D559E8"/>
    <w:rsid w:val="31D84F5F"/>
    <w:rsid w:val="31D9148B"/>
    <w:rsid w:val="31D9592F"/>
    <w:rsid w:val="31DC03AB"/>
    <w:rsid w:val="31E01A86"/>
    <w:rsid w:val="31E04326"/>
    <w:rsid w:val="31E5120A"/>
    <w:rsid w:val="31E85B72"/>
    <w:rsid w:val="31EA3F61"/>
    <w:rsid w:val="31ED5E8E"/>
    <w:rsid w:val="31F043E6"/>
    <w:rsid w:val="31F12C79"/>
    <w:rsid w:val="31F77B64"/>
    <w:rsid w:val="31F94DCF"/>
    <w:rsid w:val="31FA23BE"/>
    <w:rsid w:val="31FC33CC"/>
    <w:rsid w:val="31FE7144"/>
    <w:rsid w:val="31FF4163"/>
    <w:rsid w:val="31FF6DC2"/>
    <w:rsid w:val="32024E86"/>
    <w:rsid w:val="32044820"/>
    <w:rsid w:val="3205265B"/>
    <w:rsid w:val="320542F1"/>
    <w:rsid w:val="32096D60"/>
    <w:rsid w:val="320A7988"/>
    <w:rsid w:val="320B2759"/>
    <w:rsid w:val="321149C8"/>
    <w:rsid w:val="32114CA1"/>
    <w:rsid w:val="321353C1"/>
    <w:rsid w:val="321626E0"/>
    <w:rsid w:val="32181796"/>
    <w:rsid w:val="32187214"/>
    <w:rsid w:val="321921D0"/>
    <w:rsid w:val="321B298F"/>
    <w:rsid w:val="321B6EDD"/>
    <w:rsid w:val="321D1044"/>
    <w:rsid w:val="321E28FE"/>
    <w:rsid w:val="321F113A"/>
    <w:rsid w:val="32287F7E"/>
    <w:rsid w:val="322A3648"/>
    <w:rsid w:val="322F164C"/>
    <w:rsid w:val="3235075B"/>
    <w:rsid w:val="32355A89"/>
    <w:rsid w:val="32361EE3"/>
    <w:rsid w:val="323849A0"/>
    <w:rsid w:val="323A3F12"/>
    <w:rsid w:val="323C0968"/>
    <w:rsid w:val="323F1C36"/>
    <w:rsid w:val="32400B34"/>
    <w:rsid w:val="324059AE"/>
    <w:rsid w:val="3240775C"/>
    <w:rsid w:val="32450DDF"/>
    <w:rsid w:val="32453624"/>
    <w:rsid w:val="32457299"/>
    <w:rsid w:val="32485077"/>
    <w:rsid w:val="324975B1"/>
    <w:rsid w:val="324A347A"/>
    <w:rsid w:val="324E382E"/>
    <w:rsid w:val="32566F80"/>
    <w:rsid w:val="3257561B"/>
    <w:rsid w:val="32597B0D"/>
    <w:rsid w:val="325B70DA"/>
    <w:rsid w:val="325F0DF7"/>
    <w:rsid w:val="326005CC"/>
    <w:rsid w:val="326263FF"/>
    <w:rsid w:val="32635AB7"/>
    <w:rsid w:val="32650F71"/>
    <w:rsid w:val="32657265"/>
    <w:rsid w:val="326B5115"/>
    <w:rsid w:val="326C30B4"/>
    <w:rsid w:val="326C5CF5"/>
    <w:rsid w:val="32713A12"/>
    <w:rsid w:val="32713DBA"/>
    <w:rsid w:val="32720496"/>
    <w:rsid w:val="3273604E"/>
    <w:rsid w:val="32760CC8"/>
    <w:rsid w:val="327C5827"/>
    <w:rsid w:val="32827D75"/>
    <w:rsid w:val="32843AED"/>
    <w:rsid w:val="32853DE2"/>
    <w:rsid w:val="32870EE7"/>
    <w:rsid w:val="32881837"/>
    <w:rsid w:val="3288535F"/>
    <w:rsid w:val="3289107F"/>
    <w:rsid w:val="328E2276"/>
    <w:rsid w:val="3291620A"/>
    <w:rsid w:val="32931453"/>
    <w:rsid w:val="32936105"/>
    <w:rsid w:val="329639A3"/>
    <w:rsid w:val="3297430F"/>
    <w:rsid w:val="32993ECD"/>
    <w:rsid w:val="329A01BD"/>
    <w:rsid w:val="329A6E6D"/>
    <w:rsid w:val="329E6876"/>
    <w:rsid w:val="32A123FF"/>
    <w:rsid w:val="32A14BA3"/>
    <w:rsid w:val="32A171A2"/>
    <w:rsid w:val="32A370F4"/>
    <w:rsid w:val="32A51962"/>
    <w:rsid w:val="32A777DC"/>
    <w:rsid w:val="32AC66DB"/>
    <w:rsid w:val="32AC6BA0"/>
    <w:rsid w:val="32AD5FC5"/>
    <w:rsid w:val="32AD7620"/>
    <w:rsid w:val="32AE2918"/>
    <w:rsid w:val="32AF043E"/>
    <w:rsid w:val="32B06029"/>
    <w:rsid w:val="32B2794C"/>
    <w:rsid w:val="32B4207F"/>
    <w:rsid w:val="32B97DC9"/>
    <w:rsid w:val="32BA750F"/>
    <w:rsid w:val="32BC0383"/>
    <w:rsid w:val="32BC2C4C"/>
    <w:rsid w:val="32BF0681"/>
    <w:rsid w:val="32BF56FE"/>
    <w:rsid w:val="32C039D7"/>
    <w:rsid w:val="32C043F9"/>
    <w:rsid w:val="32C3184D"/>
    <w:rsid w:val="32CC0FF0"/>
    <w:rsid w:val="32CD7DFD"/>
    <w:rsid w:val="32D06D32"/>
    <w:rsid w:val="32D10A53"/>
    <w:rsid w:val="32D17C89"/>
    <w:rsid w:val="32D216CC"/>
    <w:rsid w:val="32D57D46"/>
    <w:rsid w:val="32D617B3"/>
    <w:rsid w:val="32D67BAF"/>
    <w:rsid w:val="32DF04A2"/>
    <w:rsid w:val="32E054F7"/>
    <w:rsid w:val="32E078F7"/>
    <w:rsid w:val="32E459DF"/>
    <w:rsid w:val="32E77BD8"/>
    <w:rsid w:val="32EA1A0C"/>
    <w:rsid w:val="32EB29CF"/>
    <w:rsid w:val="32EB3B6C"/>
    <w:rsid w:val="32EC2A67"/>
    <w:rsid w:val="32EC3440"/>
    <w:rsid w:val="32F100A3"/>
    <w:rsid w:val="32F32A21"/>
    <w:rsid w:val="32F522F5"/>
    <w:rsid w:val="32F742BF"/>
    <w:rsid w:val="32F84A0A"/>
    <w:rsid w:val="32FB57A6"/>
    <w:rsid w:val="32FD618A"/>
    <w:rsid w:val="32FF3174"/>
    <w:rsid w:val="32FF4F22"/>
    <w:rsid w:val="32FF61E9"/>
    <w:rsid w:val="33055D39"/>
    <w:rsid w:val="330B38C7"/>
    <w:rsid w:val="330E785B"/>
    <w:rsid w:val="330F43B4"/>
    <w:rsid w:val="3310254A"/>
    <w:rsid w:val="33107782"/>
    <w:rsid w:val="331311F4"/>
    <w:rsid w:val="33154745"/>
    <w:rsid w:val="33182487"/>
    <w:rsid w:val="331A5936"/>
    <w:rsid w:val="331A61FF"/>
    <w:rsid w:val="33235945"/>
    <w:rsid w:val="33264BA4"/>
    <w:rsid w:val="33264FE6"/>
    <w:rsid w:val="33270AF9"/>
    <w:rsid w:val="332C561F"/>
    <w:rsid w:val="332C61AE"/>
    <w:rsid w:val="332C6CCC"/>
    <w:rsid w:val="333015F2"/>
    <w:rsid w:val="33307EBA"/>
    <w:rsid w:val="33311D1E"/>
    <w:rsid w:val="333252F7"/>
    <w:rsid w:val="33325D5A"/>
    <w:rsid w:val="333A23FE"/>
    <w:rsid w:val="333A41AC"/>
    <w:rsid w:val="333E37DB"/>
    <w:rsid w:val="333F0019"/>
    <w:rsid w:val="33484B1B"/>
    <w:rsid w:val="33496925"/>
    <w:rsid w:val="334B0167"/>
    <w:rsid w:val="334B460B"/>
    <w:rsid w:val="334B6320"/>
    <w:rsid w:val="334D0383"/>
    <w:rsid w:val="334D5E0F"/>
    <w:rsid w:val="3351099A"/>
    <w:rsid w:val="3351410C"/>
    <w:rsid w:val="3351654D"/>
    <w:rsid w:val="335214F5"/>
    <w:rsid w:val="335326FD"/>
    <w:rsid w:val="33551D96"/>
    <w:rsid w:val="33552D94"/>
    <w:rsid w:val="33557411"/>
    <w:rsid w:val="33575D79"/>
    <w:rsid w:val="3359150B"/>
    <w:rsid w:val="335D6B2E"/>
    <w:rsid w:val="335E0F6E"/>
    <w:rsid w:val="335E60EC"/>
    <w:rsid w:val="33626AE9"/>
    <w:rsid w:val="33666754"/>
    <w:rsid w:val="33687911"/>
    <w:rsid w:val="336B44BF"/>
    <w:rsid w:val="336B5773"/>
    <w:rsid w:val="336F02F9"/>
    <w:rsid w:val="337143F9"/>
    <w:rsid w:val="337226FC"/>
    <w:rsid w:val="337376DC"/>
    <w:rsid w:val="337525D1"/>
    <w:rsid w:val="33761259"/>
    <w:rsid w:val="3377402E"/>
    <w:rsid w:val="33791178"/>
    <w:rsid w:val="337971A8"/>
    <w:rsid w:val="337A1FF9"/>
    <w:rsid w:val="337B7965"/>
    <w:rsid w:val="337D4CF9"/>
    <w:rsid w:val="337E053C"/>
    <w:rsid w:val="337E7146"/>
    <w:rsid w:val="337F57DB"/>
    <w:rsid w:val="338369EF"/>
    <w:rsid w:val="338548C6"/>
    <w:rsid w:val="3385514B"/>
    <w:rsid w:val="33857B1D"/>
    <w:rsid w:val="338758A4"/>
    <w:rsid w:val="338848A2"/>
    <w:rsid w:val="33885916"/>
    <w:rsid w:val="338D077F"/>
    <w:rsid w:val="338F44F8"/>
    <w:rsid w:val="33900270"/>
    <w:rsid w:val="3390561A"/>
    <w:rsid w:val="33922D71"/>
    <w:rsid w:val="33927790"/>
    <w:rsid w:val="33947D60"/>
    <w:rsid w:val="33976802"/>
    <w:rsid w:val="33976AED"/>
    <w:rsid w:val="33990998"/>
    <w:rsid w:val="33991860"/>
    <w:rsid w:val="339B5ACE"/>
    <w:rsid w:val="339C3865"/>
    <w:rsid w:val="339D3566"/>
    <w:rsid w:val="339D7180"/>
    <w:rsid w:val="339F04B3"/>
    <w:rsid w:val="33A05BF5"/>
    <w:rsid w:val="33A1247D"/>
    <w:rsid w:val="33A14EFA"/>
    <w:rsid w:val="33A437A0"/>
    <w:rsid w:val="33A65CE5"/>
    <w:rsid w:val="33AB78F3"/>
    <w:rsid w:val="33AE03F9"/>
    <w:rsid w:val="33AE7AC7"/>
    <w:rsid w:val="33B0073B"/>
    <w:rsid w:val="33B11B90"/>
    <w:rsid w:val="33B73A4E"/>
    <w:rsid w:val="33B85305"/>
    <w:rsid w:val="33BA0F5C"/>
    <w:rsid w:val="33BD1646"/>
    <w:rsid w:val="33C23925"/>
    <w:rsid w:val="33C30645"/>
    <w:rsid w:val="33C65A3F"/>
    <w:rsid w:val="33C70135"/>
    <w:rsid w:val="33C87A07"/>
    <w:rsid w:val="33C95346"/>
    <w:rsid w:val="33CA19D4"/>
    <w:rsid w:val="33CB12A8"/>
    <w:rsid w:val="33CD7BE2"/>
    <w:rsid w:val="33CF6FEA"/>
    <w:rsid w:val="33D14480"/>
    <w:rsid w:val="33D219E7"/>
    <w:rsid w:val="33D4063A"/>
    <w:rsid w:val="33D426EE"/>
    <w:rsid w:val="33D44600"/>
    <w:rsid w:val="33D75E9F"/>
    <w:rsid w:val="33D857E5"/>
    <w:rsid w:val="33D934D4"/>
    <w:rsid w:val="33DA5C7F"/>
    <w:rsid w:val="33DC07E1"/>
    <w:rsid w:val="33DF6F7F"/>
    <w:rsid w:val="33E17ED2"/>
    <w:rsid w:val="33E24464"/>
    <w:rsid w:val="33E83C08"/>
    <w:rsid w:val="33E87534"/>
    <w:rsid w:val="33EA0E73"/>
    <w:rsid w:val="33EA267A"/>
    <w:rsid w:val="33EA3E24"/>
    <w:rsid w:val="33F00D0E"/>
    <w:rsid w:val="33F4315C"/>
    <w:rsid w:val="33F777D4"/>
    <w:rsid w:val="33F816D2"/>
    <w:rsid w:val="33F97BC3"/>
    <w:rsid w:val="33FB52BF"/>
    <w:rsid w:val="33FC5905"/>
    <w:rsid w:val="33FE2F6A"/>
    <w:rsid w:val="33FE6DB1"/>
    <w:rsid w:val="340071A3"/>
    <w:rsid w:val="340100F1"/>
    <w:rsid w:val="34014CC9"/>
    <w:rsid w:val="34051E23"/>
    <w:rsid w:val="34052A0C"/>
    <w:rsid w:val="34056F53"/>
    <w:rsid w:val="3406361E"/>
    <w:rsid w:val="34075CAC"/>
    <w:rsid w:val="3408599C"/>
    <w:rsid w:val="340A6274"/>
    <w:rsid w:val="340B2C05"/>
    <w:rsid w:val="340E07E5"/>
    <w:rsid w:val="34103383"/>
    <w:rsid w:val="34142C4F"/>
    <w:rsid w:val="341529F1"/>
    <w:rsid w:val="341A4A78"/>
    <w:rsid w:val="341B7529"/>
    <w:rsid w:val="34235BF7"/>
    <w:rsid w:val="34252BEE"/>
    <w:rsid w:val="342726E8"/>
    <w:rsid w:val="34276138"/>
    <w:rsid w:val="3428494C"/>
    <w:rsid w:val="34295C4B"/>
    <w:rsid w:val="342B4496"/>
    <w:rsid w:val="342C0AE3"/>
    <w:rsid w:val="342C7F98"/>
    <w:rsid w:val="342D3C13"/>
    <w:rsid w:val="342E1D81"/>
    <w:rsid w:val="34336500"/>
    <w:rsid w:val="34386E63"/>
    <w:rsid w:val="343B467F"/>
    <w:rsid w:val="343C4A44"/>
    <w:rsid w:val="343C5557"/>
    <w:rsid w:val="343D03F7"/>
    <w:rsid w:val="34443645"/>
    <w:rsid w:val="344572AC"/>
    <w:rsid w:val="344A6670"/>
    <w:rsid w:val="344B4024"/>
    <w:rsid w:val="344D66DB"/>
    <w:rsid w:val="344E11D0"/>
    <w:rsid w:val="344F5007"/>
    <w:rsid w:val="34503B3C"/>
    <w:rsid w:val="34563260"/>
    <w:rsid w:val="34565015"/>
    <w:rsid w:val="34573523"/>
    <w:rsid w:val="34574238"/>
    <w:rsid w:val="34577B88"/>
    <w:rsid w:val="345B087E"/>
    <w:rsid w:val="345B2549"/>
    <w:rsid w:val="34682EB0"/>
    <w:rsid w:val="346A0AC1"/>
    <w:rsid w:val="346C2F70"/>
    <w:rsid w:val="346C4839"/>
    <w:rsid w:val="346D16DD"/>
    <w:rsid w:val="346F257B"/>
    <w:rsid w:val="34773B23"/>
    <w:rsid w:val="347B4A7C"/>
    <w:rsid w:val="347D4416"/>
    <w:rsid w:val="347E4DF9"/>
    <w:rsid w:val="34806C8E"/>
    <w:rsid w:val="348118BA"/>
    <w:rsid w:val="34814A6E"/>
    <w:rsid w:val="3483024B"/>
    <w:rsid w:val="348D2FEE"/>
    <w:rsid w:val="348F22D5"/>
    <w:rsid w:val="34930017"/>
    <w:rsid w:val="34934337"/>
    <w:rsid w:val="34964BD6"/>
    <w:rsid w:val="34977A7E"/>
    <w:rsid w:val="349C326A"/>
    <w:rsid w:val="349F1F3F"/>
    <w:rsid w:val="349F5B4F"/>
    <w:rsid w:val="34A246FE"/>
    <w:rsid w:val="34A25FAE"/>
    <w:rsid w:val="34A264AC"/>
    <w:rsid w:val="34A34D61"/>
    <w:rsid w:val="34A50C8E"/>
    <w:rsid w:val="34AB1D96"/>
    <w:rsid w:val="34AB35B3"/>
    <w:rsid w:val="34B1049E"/>
    <w:rsid w:val="34B44240"/>
    <w:rsid w:val="34B53459"/>
    <w:rsid w:val="34B561E0"/>
    <w:rsid w:val="34B60AA8"/>
    <w:rsid w:val="34B7674E"/>
    <w:rsid w:val="34B87A7E"/>
    <w:rsid w:val="34B91993"/>
    <w:rsid w:val="34BB0BC9"/>
    <w:rsid w:val="34BB5270"/>
    <w:rsid w:val="34BD4711"/>
    <w:rsid w:val="34BF2BBB"/>
    <w:rsid w:val="34C01D64"/>
    <w:rsid w:val="34C4518D"/>
    <w:rsid w:val="34C71A6F"/>
    <w:rsid w:val="34CA66E3"/>
    <w:rsid w:val="34CB10D4"/>
    <w:rsid w:val="34CD6267"/>
    <w:rsid w:val="34CE54F3"/>
    <w:rsid w:val="34CE60D4"/>
    <w:rsid w:val="34D04DC8"/>
    <w:rsid w:val="34D066EC"/>
    <w:rsid w:val="34D20237"/>
    <w:rsid w:val="34D4087A"/>
    <w:rsid w:val="34D57C2E"/>
    <w:rsid w:val="34D64903"/>
    <w:rsid w:val="34D652ED"/>
    <w:rsid w:val="34D81ECE"/>
    <w:rsid w:val="34DB45E9"/>
    <w:rsid w:val="34DD577B"/>
    <w:rsid w:val="34DD74E5"/>
    <w:rsid w:val="34E00D83"/>
    <w:rsid w:val="34E16FD5"/>
    <w:rsid w:val="34E40873"/>
    <w:rsid w:val="34E72111"/>
    <w:rsid w:val="34E73EBF"/>
    <w:rsid w:val="34E768FA"/>
    <w:rsid w:val="34EC7728"/>
    <w:rsid w:val="34EE4E24"/>
    <w:rsid w:val="34EF0FC6"/>
    <w:rsid w:val="34F07218"/>
    <w:rsid w:val="34F14D3E"/>
    <w:rsid w:val="34F33279"/>
    <w:rsid w:val="34F807BD"/>
    <w:rsid w:val="34F8663F"/>
    <w:rsid w:val="34F86E2B"/>
    <w:rsid w:val="34F97C04"/>
    <w:rsid w:val="34FD7B87"/>
    <w:rsid w:val="34FF4DBA"/>
    <w:rsid w:val="35034CB3"/>
    <w:rsid w:val="350528BA"/>
    <w:rsid w:val="350608B2"/>
    <w:rsid w:val="35082F60"/>
    <w:rsid w:val="35091305"/>
    <w:rsid w:val="350A3FBD"/>
    <w:rsid w:val="350C7DCA"/>
    <w:rsid w:val="350C7F20"/>
    <w:rsid w:val="350D491F"/>
    <w:rsid w:val="350F11F7"/>
    <w:rsid w:val="3510759B"/>
    <w:rsid w:val="35130684"/>
    <w:rsid w:val="35131158"/>
    <w:rsid w:val="35132F06"/>
    <w:rsid w:val="351349D6"/>
    <w:rsid w:val="35141B5A"/>
    <w:rsid w:val="35180FBA"/>
    <w:rsid w:val="3518676F"/>
    <w:rsid w:val="351A4059"/>
    <w:rsid w:val="351C429D"/>
    <w:rsid w:val="352256B5"/>
    <w:rsid w:val="352275ED"/>
    <w:rsid w:val="35263114"/>
    <w:rsid w:val="352724FB"/>
    <w:rsid w:val="35282DB0"/>
    <w:rsid w:val="352840FB"/>
    <w:rsid w:val="3528482A"/>
    <w:rsid w:val="352B64A2"/>
    <w:rsid w:val="353115DE"/>
    <w:rsid w:val="3532044F"/>
    <w:rsid w:val="3534427D"/>
    <w:rsid w:val="353529C7"/>
    <w:rsid w:val="35366BF5"/>
    <w:rsid w:val="35380BBF"/>
    <w:rsid w:val="353D62C7"/>
    <w:rsid w:val="353F360F"/>
    <w:rsid w:val="353F6F3E"/>
    <w:rsid w:val="35415CC5"/>
    <w:rsid w:val="354171C3"/>
    <w:rsid w:val="35445BF0"/>
    <w:rsid w:val="3546508A"/>
    <w:rsid w:val="35476B18"/>
    <w:rsid w:val="354805AA"/>
    <w:rsid w:val="354F3C66"/>
    <w:rsid w:val="35523A2F"/>
    <w:rsid w:val="355359F9"/>
    <w:rsid w:val="35551771"/>
    <w:rsid w:val="35563B20"/>
    <w:rsid w:val="35583D4D"/>
    <w:rsid w:val="355C48AD"/>
    <w:rsid w:val="355D1173"/>
    <w:rsid w:val="355E693A"/>
    <w:rsid w:val="355F7EFA"/>
    <w:rsid w:val="356279EA"/>
    <w:rsid w:val="35630BB3"/>
    <w:rsid w:val="35662232"/>
    <w:rsid w:val="3567375B"/>
    <w:rsid w:val="356A2E60"/>
    <w:rsid w:val="3572263D"/>
    <w:rsid w:val="357227B6"/>
    <w:rsid w:val="357339A5"/>
    <w:rsid w:val="35745524"/>
    <w:rsid w:val="35770059"/>
    <w:rsid w:val="3577718E"/>
    <w:rsid w:val="35780FBB"/>
    <w:rsid w:val="357B2DD7"/>
    <w:rsid w:val="357C0AAC"/>
    <w:rsid w:val="357F2070"/>
    <w:rsid w:val="3583008C"/>
    <w:rsid w:val="35867B7C"/>
    <w:rsid w:val="35884B43"/>
    <w:rsid w:val="358C38C7"/>
    <w:rsid w:val="358C5FA8"/>
    <w:rsid w:val="358E3D4D"/>
    <w:rsid w:val="358F6015"/>
    <w:rsid w:val="35950ACD"/>
    <w:rsid w:val="359609F0"/>
    <w:rsid w:val="35960CA3"/>
    <w:rsid w:val="35975D5F"/>
    <w:rsid w:val="359B63F1"/>
    <w:rsid w:val="359D0A22"/>
    <w:rsid w:val="35A149B6"/>
    <w:rsid w:val="35A428FB"/>
    <w:rsid w:val="35A647B4"/>
    <w:rsid w:val="35A65015"/>
    <w:rsid w:val="35AB3C09"/>
    <w:rsid w:val="35AD015C"/>
    <w:rsid w:val="35B02264"/>
    <w:rsid w:val="35B46497"/>
    <w:rsid w:val="35B71AE4"/>
    <w:rsid w:val="35B779D1"/>
    <w:rsid w:val="35B77A89"/>
    <w:rsid w:val="35B77AD1"/>
    <w:rsid w:val="35B97B41"/>
    <w:rsid w:val="35BF4E3C"/>
    <w:rsid w:val="35C10BB4"/>
    <w:rsid w:val="35C136FB"/>
    <w:rsid w:val="35C15DF1"/>
    <w:rsid w:val="35C236B1"/>
    <w:rsid w:val="35C36919"/>
    <w:rsid w:val="35C42453"/>
    <w:rsid w:val="35C6441D"/>
    <w:rsid w:val="35C67041"/>
    <w:rsid w:val="35C75D19"/>
    <w:rsid w:val="35C772A8"/>
    <w:rsid w:val="35C80195"/>
    <w:rsid w:val="35CB6EA5"/>
    <w:rsid w:val="35CF507F"/>
    <w:rsid w:val="35D54660"/>
    <w:rsid w:val="35D94E22"/>
    <w:rsid w:val="35DC779C"/>
    <w:rsid w:val="35E0728C"/>
    <w:rsid w:val="35E20F2D"/>
    <w:rsid w:val="35E31F4D"/>
    <w:rsid w:val="35E623C9"/>
    <w:rsid w:val="35E81522"/>
    <w:rsid w:val="35E86141"/>
    <w:rsid w:val="35E90436"/>
    <w:rsid w:val="35E9082C"/>
    <w:rsid w:val="35EA010B"/>
    <w:rsid w:val="35EF692D"/>
    <w:rsid w:val="35F01849"/>
    <w:rsid w:val="35F03248"/>
    <w:rsid w:val="35F038FC"/>
    <w:rsid w:val="35F5126F"/>
    <w:rsid w:val="35F9034E"/>
    <w:rsid w:val="35F965A0"/>
    <w:rsid w:val="35FA19CD"/>
    <w:rsid w:val="35FC47A3"/>
    <w:rsid w:val="35FF60D6"/>
    <w:rsid w:val="36015455"/>
    <w:rsid w:val="36027A4F"/>
    <w:rsid w:val="36064819"/>
    <w:rsid w:val="36074A7F"/>
    <w:rsid w:val="360867E3"/>
    <w:rsid w:val="360C0B65"/>
    <w:rsid w:val="361005E4"/>
    <w:rsid w:val="36107446"/>
    <w:rsid w:val="36127662"/>
    <w:rsid w:val="361339D9"/>
    <w:rsid w:val="361348EE"/>
    <w:rsid w:val="36146F36"/>
    <w:rsid w:val="36194408"/>
    <w:rsid w:val="36200160"/>
    <w:rsid w:val="362058DB"/>
    <w:rsid w:val="36205FA9"/>
    <w:rsid w:val="362178A5"/>
    <w:rsid w:val="36266C69"/>
    <w:rsid w:val="3628322E"/>
    <w:rsid w:val="362C5DE2"/>
    <w:rsid w:val="362C6FF6"/>
    <w:rsid w:val="362E11D6"/>
    <w:rsid w:val="362E2A55"/>
    <w:rsid w:val="362E4698"/>
    <w:rsid w:val="362F34D6"/>
    <w:rsid w:val="36301896"/>
    <w:rsid w:val="36315D3A"/>
    <w:rsid w:val="36321AB2"/>
    <w:rsid w:val="36323860"/>
    <w:rsid w:val="36353F83"/>
    <w:rsid w:val="3637104B"/>
    <w:rsid w:val="363A2F58"/>
    <w:rsid w:val="363C023B"/>
    <w:rsid w:val="363D008E"/>
    <w:rsid w:val="363D46DF"/>
    <w:rsid w:val="36405F1E"/>
    <w:rsid w:val="36423BD6"/>
    <w:rsid w:val="364315C9"/>
    <w:rsid w:val="36470B6A"/>
    <w:rsid w:val="36513CE6"/>
    <w:rsid w:val="3651635E"/>
    <w:rsid w:val="3653468C"/>
    <w:rsid w:val="3658266C"/>
    <w:rsid w:val="36586B29"/>
    <w:rsid w:val="365A2E75"/>
    <w:rsid w:val="365D5F63"/>
    <w:rsid w:val="36630911"/>
    <w:rsid w:val="36631C6B"/>
    <w:rsid w:val="366542C6"/>
    <w:rsid w:val="3667379F"/>
    <w:rsid w:val="36682394"/>
    <w:rsid w:val="3669231D"/>
    <w:rsid w:val="36695095"/>
    <w:rsid w:val="366A124C"/>
    <w:rsid w:val="366B69B1"/>
    <w:rsid w:val="36764A6C"/>
    <w:rsid w:val="36783969"/>
    <w:rsid w:val="3679148F"/>
    <w:rsid w:val="3679323D"/>
    <w:rsid w:val="367B2BAF"/>
    <w:rsid w:val="367F4CF7"/>
    <w:rsid w:val="368101F6"/>
    <w:rsid w:val="368505B5"/>
    <w:rsid w:val="368735C3"/>
    <w:rsid w:val="36923549"/>
    <w:rsid w:val="3697709B"/>
    <w:rsid w:val="369868B3"/>
    <w:rsid w:val="3699443D"/>
    <w:rsid w:val="369D33CF"/>
    <w:rsid w:val="369E4A52"/>
    <w:rsid w:val="36A22794"/>
    <w:rsid w:val="36A55D27"/>
    <w:rsid w:val="36A94F8C"/>
    <w:rsid w:val="36AB6562"/>
    <w:rsid w:val="36AD0D39"/>
    <w:rsid w:val="36AE1139"/>
    <w:rsid w:val="36AF6EB3"/>
    <w:rsid w:val="36B14785"/>
    <w:rsid w:val="36B44454"/>
    <w:rsid w:val="36B55BD0"/>
    <w:rsid w:val="36B73E38"/>
    <w:rsid w:val="36B75FBF"/>
    <w:rsid w:val="36BC31FC"/>
    <w:rsid w:val="36BC7C48"/>
    <w:rsid w:val="36BD0C45"/>
    <w:rsid w:val="36BF38B3"/>
    <w:rsid w:val="36BF604D"/>
    <w:rsid w:val="36C322E6"/>
    <w:rsid w:val="36C559EF"/>
    <w:rsid w:val="36C60D86"/>
    <w:rsid w:val="36C92771"/>
    <w:rsid w:val="36C95F72"/>
    <w:rsid w:val="36C97E74"/>
    <w:rsid w:val="36CC15BF"/>
    <w:rsid w:val="36D05553"/>
    <w:rsid w:val="36D17F08"/>
    <w:rsid w:val="36D42D66"/>
    <w:rsid w:val="36D60630"/>
    <w:rsid w:val="36D62109"/>
    <w:rsid w:val="36D668E1"/>
    <w:rsid w:val="36D7544A"/>
    <w:rsid w:val="36DA0180"/>
    <w:rsid w:val="36DC3513"/>
    <w:rsid w:val="36DD0EA9"/>
    <w:rsid w:val="36DF5796"/>
    <w:rsid w:val="36E06005"/>
    <w:rsid w:val="36E13D2A"/>
    <w:rsid w:val="36E20974"/>
    <w:rsid w:val="36E4694D"/>
    <w:rsid w:val="36E94248"/>
    <w:rsid w:val="36E96114"/>
    <w:rsid w:val="36E96615"/>
    <w:rsid w:val="36EB3A05"/>
    <w:rsid w:val="36EF34FF"/>
    <w:rsid w:val="36F275DD"/>
    <w:rsid w:val="36F338D4"/>
    <w:rsid w:val="36F34D9D"/>
    <w:rsid w:val="36FA7274"/>
    <w:rsid w:val="36FC6348"/>
    <w:rsid w:val="36FE60D8"/>
    <w:rsid w:val="36FF1994"/>
    <w:rsid w:val="37020AF6"/>
    <w:rsid w:val="37055C47"/>
    <w:rsid w:val="37077F8F"/>
    <w:rsid w:val="370B18A8"/>
    <w:rsid w:val="370B658B"/>
    <w:rsid w:val="370E71BF"/>
    <w:rsid w:val="370F412E"/>
    <w:rsid w:val="370F76FD"/>
    <w:rsid w:val="37117919"/>
    <w:rsid w:val="37123663"/>
    <w:rsid w:val="3713119E"/>
    <w:rsid w:val="3715003A"/>
    <w:rsid w:val="371612AE"/>
    <w:rsid w:val="371814DD"/>
    <w:rsid w:val="37190F61"/>
    <w:rsid w:val="37242338"/>
    <w:rsid w:val="372537F8"/>
    <w:rsid w:val="37275B90"/>
    <w:rsid w:val="372A2624"/>
    <w:rsid w:val="372D0577"/>
    <w:rsid w:val="372F629C"/>
    <w:rsid w:val="37304231"/>
    <w:rsid w:val="37315086"/>
    <w:rsid w:val="3732136E"/>
    <w:rsid w:val="37325F77"/>
    <w:rsid w:val="37341001"/>
    <w:rsid w:val="3734779C"/>
    <w:rsid w:val="3736166F"/>
    <w:rsid w:val="37363961"/>
    <w:rsid w:val="37363C25"/>
    <w:rsid w:val="373A6E70"/>
    <w:rsid w:val="373B4CBF"/>
    <w:rsid w:val="373C0555"/>
    <w:rsid w:val="373F7C47"/>
    <w:rsid w:val="37400F91"/>
    <w:rsid w:val="374534D2"/>
    <w:rsid w:val="374A22B7"/>
    <w:rsid w:val="374D068F"/>
    <w:rsid w:val="374D16A7"/>
    <w:rsid w:val="374E2F13"/>
    <w:rsid w:val="37537211"/>
    <w:rsid w:val="37547197"/>
    <w:rsid w:val="375A7500"/>
    <w:rsid w:val="375B2943"/>
    <w:rsid w:val="375D72C8"/>
    <w:rsid w:val="375E5E7B"/>
    <w:rsid w:val="37623CD1"/>
    <w:rsid w:val="37661ECC"/>
    <w:rsid w:val="37667C65"/>
    <w:rsid w:val="37681512"/>
    <w:rsid w:val="376878C7"/>
    <w:rsid w:val="376F58A0"/>
    <w:rsid w:val="37706AD2"/>
    <w:rsid w:val="37721194"/>
    <w:rsid w:val="377237BF"/>
    <w:rsid w:val="37727B52"/>
    <w:rsid w:val="377404CA"/>
    <w:rsid w:val="377573C6"/>
    <w:rsid w:val="3779261C"/>
    <w:rsid w:val="377C164D"/>
    <w:rsid w:val="377E675F"/>
    <w:rsid w:val="378123A9"/>
    <w:rsid w:val="378126D8"/>
    <w:rsid w:val="378310E4"/>
    <w:rsid w:val="378400EB"/>
    <w:rsid w:val="37857735"/>
    <w:rsid w:val="37865C12"/>
    <w:rsid w:val="378E4AC6"/>
    <w:rsid w:val="37912C79"/>
    <w:rsid w:val="37971BCD"/>
    <w:rsid w:val="37975F10"/>
    <w:rsid w:val="379A16BD"/>
    <w:rsid w:val="37A244E8"/>
    <w:rsid w:val="37A270CD"/>
    <w:rsid w:val="37A27996"/>
    <w:rsid w:val="37A27D8B"/>
    <w:rsid w:val="37A409D6"/>
    <w:rsid w:val="37A46F67"/>
    <w:rsid w:val="37A56D79"/>
    <w:rsid w:val="37A60062"/>
    <w:rsid w:val="37A61A1E"/>
    <w:rsid w:val="37A83DDA"/>
    <w:rsid w:val="37AA31BE"/>
    <w:rsid w:val="37AD1304"/>
    <w:rsid w:val="37B070DD"/>
    <w:rsid w:val="37B26A07"/>
    <w:rsid w:val="37B849CB"/>
    <w:rsid w:val="37B95EC4"/>
    <w:rsid w:val="37BA5661"/>
    <w:rsid w:val="37BB02FF"/>
    <w:rsid w:val="37BB33E0"/>
    <w:rsid w:val="37BB3B1B"/>
    <w:rsid w:val="37C56D30"/>
    <w:rsid w:val="37C837D0"/>
    <w:rsid w:val="37C91BF9"/>
    <w:rsid w:val="37CB7AC8"/>
    <w:rsid w:val="37CC1165"/>
    <w:rsid w:val="37CE3B4C"/>
    <w:rsid w:val="37CE7451"/>
    <w:rsid w:val="37CF5A49"/>
    <w:rsid w:val="37CF758D"/>
    <w:rsid w:val="37D06418"/>
    <w:rsid w:val="37D15F3F"/>
    <w:rsid w:val="37D61DFD"/>
    <w:rsid w:val="37D85005"/>
    <w:rsid w:val="37D92540"/>
    <w:rsid w:val="37DA418D"/>
    <w:rsid w:val="37DB72D1"/>
    <w:rsid w:val="37DE7363"/>
    <w:rsid w:val="37E00298"/>
    <w:rsid w:val="37E01E5E"/>
    <w:rsid w:val="37E1553E"/>
    <w:rsid w:val="37E24552"/>
    <w:rsid w:val="37E2508F"/>
    <w:rsid w:val="37E51457"/>
    <w:rsid w:val="37E806EB"/>
    <w:rsid w:val="37ED631F"/>
    <w:rsid w:val="37EE4E6A"/>
    <w:rsid w:val="37F4701F"/>
    <w:rsid w:val="37F506D0"/>
    <w:rsid w:val="37F70C70"/>
    <w:rsid w:val="37F83C91"/>
    <w:rsid w:val="37F964D4"/>
    <w:rsid w:val="38002DB0"/>
    <w:rsid w:val="380108C8"/>
    <w:rsid w:val="380134EA"/>
    <w:rsid w:val="38054731"/>
    <w:rsid w:val="380A4A95"/>
    <w:rsid w:val="380A7112"/>
    <w:rsid w:val="380F2764"/>
    <w:rsid w:val="380F3D50"/>
    <w:rsid w:val="38103E83"/>
    <w:rsid w:val="381279D4"/>
    <w:rsid w:val="38160F92"/>
    <w:rsid w:val="38172D0E"/>
    <w:rsid w:val="38181443"/>
    <w:rsid w:val="38190834"/>
    <w:rsid w:val="38193C81"/>
    <w:rsid w:val="381A0AC8"/>
    <w:rsid w:val="381A0FBB"/>
    <w:rsid w:val="381A265D"/>
    <w:rsid w:val="381B2D69"/>
    <w:rsid w:val="381E5E4A"/>
    <w:rsid w:val="38213035"/>
    <w:rsid w:val="38224049"/>
    <w:rsid w:val="3822714E"/>
    <w:rsid w:val="38237904"/>
    <w:rsid w:val="38247BC6"/>
    <w:rsid w:val="3825542A"/>
    <w:rsid w:val="382A7D95"/>
    <w:rsid w:val="382C0A7B"/>
    <w:rsid w:val="382C29C4"/>
    <w:rsid w:val="382E4D98"/>
    <w:rsid w:val="38300E13"/>
    <w:rsid w:val="38331E91"/>
    <w:rsid w:val="38341A0A"/>
    <w:rsid w:val="383513E6"/>
    <w:rsid w:val="38367638"/>
    <w:rsid w:val="38386EF3"/>
    <w:rsid w:val="384B0C09"/>
    <w:rsid w:val="384C2197"/>
    <w:rsid w:val="384C7778"/>
    <w:rsid w:val="384D5DAC"/>
    <w:rsid w:val="384D722E"/>
    <w:rsid w:val="384F06F9"/>
    <w:rsid w:val="384F457A"/>
    <w:rsid w:val="385555E4"/>
    <w:rsid w:val="38593326"/>
    <w:rsid w:val="38593F81"/>
    <w:rsid w:val="385A37A0"/>
    <w:rsid w:val="385E1872"/>
    <w:rsid w:val="385E26EA"/>
    <w:rsid w:val="3862042D"/>
    <w:rsid w:val="38625B09"/>
    <w:rsid w:val="3862667F"/>
    <w:rsid w:val="386720BB"/>
    <w:rsid w:val="38673C95"/>
    <w:rsid w:val="386A108F"/>
    <w:rsid w:val="386D5023"/>
    <w:rsid w:val="38737F8D"/>
    <w:rsid w:val="387A0166"/>
    <w:rsid w:val="387B329C"/>
    <w:rsid w:val="387B6C6B"/>
    <w:rsid w:val="387C0DC3"/>
    <w:rsid w:val="38842625"/>
    <w:rsid w:val="38843BC0"/>
    <w:rsid w:val="38855EC9"/>
    <w:rsid w:val="38892B83"/>
    <w:rsid w:val="388B5E24"/>
    <w:rsid w:val="38954D8F"/>
    <w:rsid w:val="389E342F"/>
    <w:rsid w:val="389E51DD"/>
    <w:rsid w:val="389F2BBB"/>
    <w:rsid w:val="38A0262D"/>
    <w:rsid w:val="38A24AEC"/>
    <w:rsid w:val="38A76620"/>
    <w:rsid w:val="38A8605B"/>
    <w:rsid w:val="38AA1948"/>
    <w:rsid w:val="38AA1C34"/>
    <w:rsid w:val="38AD5653"/>
    <w:rsid w:val="38AD702E"/>
    <w:rsid w:val="38AF69B1"/>
    <w:rsid w:val="38B00474"/>
    <w:rsid w:val="38B04417"/>
    <w:rsid w:val="38B13162"/>
    <w:rsid w:val="38B21D74"/>
    <w:rsid w:val="38B302F9"/>
    <w:rsid w:val="38B4055C"/>
    <w:rsid w:val="38B467AE"/>
    <w:rsid w:val="38B54DBF"/>
    <w:rsid w:val="38B61273"/>
    <w:rsid w:val="38B72CB1"/>
    <w:rsid w:val="38B92DB0"/>
    <w:rsid w:val="38BD1B07"/>
    <w:rsid w:val="38BE13DB"/>
    <w:rsid w:val="38C038BF"/>
    <w:rsid w:val="38C22C3C"/>
    <w:rsid w:val="38C27050"/>
    <w:rsid w:val="38C34DD4"/>
    <w:rsid w:val="38C37F86"/>
    <w:rsid w:val="38C5276A"/>
    <w:rsid w:val="38C66B5D"/>
    <w:rsid w:val="38C837DB"/>
    <w:rsid w:val="38C84008"/>
    <w:rsid w:val="38C904AC"/>
    <w:rsid w:val="38C950C6"/>
    <w:rsid w:val="38CC69C8"/>
    <w:rsid w:val="38CE5AC2"/>
    <w:rsid w:val="38D217BE"/>
    <w:rsid w:val="38D233DD"/>
    <w:rsid w:val="38D560CA"/>
    <w:rsid w:val="38D573F0"/>
    <w:rsid w:val="38D806D1"/>
    <w:rsid w:val="38D81226"/>
    <w:rsid w:val="38D82F25"/>
    <w:rsid w:val="38DB21CD"/>
    <w:rsid w:val="38DE1A7D"/>
    <w:rsid w:val="38E612BB"/>
    <w:rsid w:val="38E63CFD"/>
    <w:rsid w:val="38E752F2"/>
    <w:rsid w:val="38E86458"/>
    <w:rsid w:val="38E946AA"/>
    <w:rsid w:val="38EB1654"/>
    <w:rsid w:val="38F11C25"/>
    <w:rsid w:val="38F12CD3"/>
    <w:rsid w:val="38F475C4"/>
    <w:rsid w:val="38F508B9"/>
    <w:rsid w:val="38F54FD0"/>
    <w:rsid w:val="38F90665"/>
    <w:rsid w:val="38F9066F"/>
    <w:rsid w:val="38F9283E"/>
    <w:rsid w:val="38F93C98"/>
    <w:rsid w:val="38F94775"/>
    <w:rsid w:val="38FB3892"/>
    <w:rsid w:val="38FD2870"/>
    <w:rsid w:val="38FD63A7"/>
    <w:rsid w:val="38FF4354"/>
    <w:rsid w:val="39032843"/>
    <w:rsid w:val="390C08A1"/>
    <w:rsid w:val="390E2362"/>
    <w:rsid w:val="390E4110"/>
    <w:rsid w:val="390E5EBF"/>
    <w:rsid w:val="390F42B9"/>
    <w:rsid w:val="39131727"/>
    <w:rsid w:val="39147E87"/>
    <w:rsid w:val="39186D3D"/>
    <w:rsid w:val="391B1E3D"/>
    <w:rsid w:val="391F001F"/>
    <w:rsid w:val="3922379E"/>
    <w:rsid w:val="392971ED"/>
    <w:rsid w:val="39325651"/>
    <w:rsid w:val="39365D8E"/>
    <w:rsid w:val="39382F3B"/>
    <w:rsid w:val="39397EFF"/>
    <w:rsid w:val="393C24D3"/>
    <w:rsid w:val="393C34E5"/>
    <w:rsid w:val="393F0D3F"/>
    <w:rsid w:val="394600AE"/>
    <w:rsid w:val="394601A7"/>
    <w:rsid w:val="394923FC"/>
    <w:rsid w:val="39495F88"/>
    <w:rsid w:val="39497F70"/>
    <w:rsid w:val="394A0C8C"/>
    <w:rsid w:val="394A150A"/>
    <w:rsid w:val="394C61B4"/>
    <w:rsid w:val="394D7FB9"/>
    <w:rsid w:val="394F458A"/>
    <w:rsid w:val="39501775"/>
    <w:rsid w:val="395104A1"/>
    <w:rsid w:val="39534219"/>
    <w:rsid w:val="395446BF"/>
    <w:rsid w:val="3955259F"/>
    <w:rsid w:val="39565AB7"/>
    <w:rsid w:val="39580279"/>
    <w:rsid w:val="39581830"/>
    <w:rsid w:val="395835DE"/>
    <w:rsid w:val="3958538C"/>
    <w:rsid w:val="395D0BF4"/>
    <w:rsid w:val="396151EA"/>
    <w:rsid w:val="39643D30"/>
    <w:rsid w:val="39673073"/>
    <w:rsid w:val="39686967"/>
    <w:rsid w:val="396B2D5F"/>
    <w:rsid w:val="396C0E37"/>
    <w:rsid w:val="396C5F31"/>
    <w:rsid w:val="396D5173"/>
    <w:rsid w:val="39725D92"/>
    <w:rsid w:val="39747C2E"/>
    <w:rsid w:val="39783C80"/>
    <w:rsid w:val="39784CE7"/>
    <w:rsid w:val="39786AC5"/>
    <w:rsid w:val="397948EA"/>
    <w:rsid w:val="397A60BB"/>
    <w:rsid w:val="397D22E9"/>
    <w:rsid w:val="397E28F9"/>
    <w:rsid w:val="397E3757"/>
    <w:rsid w:val="3982065B"/>
    <w:rsid w:val="39881C3A"/>
    <w:rsid w:val="399162BD"/>
    <w:rsid w:val="39934616"/>
    <w:rsid w:val="399447FA"/>
    <w:rsid w:val="39972358"/>
    <w:rsid w:val="39975932"/>
    <w:rsid w:val="39986EAF"/>
    <w:rsid w:val="39997170"/>
    <w:rsid w:val="399B238A"/>
    <w:rsid w:val="399F3424"/>
    <w:rsid w:val="39A06898"/>
    <w:rsid w:val="39A100B7"/>
    <w:rsid w:val="39A2511E"/>
    <w:rsid w:val="39A44A75"/>
    <w:rsid w:val="39A92C0E"/>
    <w:rsid w:val="39A93E39"/>
    <w:rsid w:val="39A95BE7"/>
    <w:rsid w:val="39AD0063"/>
    <w:rsid w:val="39AD3929"/>
    <w:rsid w:val="39AE5F23"/>
    <w:rsid w:val="39AF030C"/>
    <w:rsid w:val="39B07AF2"/>
    <w:rsid w:val="39B27192"/>
    <w:rsid w:val="39B54483"/>
    <w:rsid w:val="39B66A6C"/>
    <w:rsid w:val="39B747A8"/>
    <w:rsid w:val="39BA1BA2"/>
    <w:rsid w:val="39C168F6"/>
    <w:rsid w:val="39C405A8"/>
    <w:rsid w:val="39C50DBF"/>
    <w:rsid w:val="39C5630D"/>
    <w:rsid w:val="39C71AAB"/>
    <w:rsid w:val="39CB0791"/>
    <w:rsid w:val="39CC6DF4"/>
    <w:rsid w:val="39D07618"/>
    <w:rsid w:val="39D569DC"/>
    <w:rsid w:val="39D8653B"/>
    <w:rsid w:val="39DB72F7"/>
    <w:rsid w:val="39DE1D35"/>
    <w:rsid w:val="39E026A9"/>
    <w:rsid w:val="39E135D3"/>
    <w:rsid w:val="39E13CF3"/>
    <w:rsid w:val="39E26128"/>
    <w:rsid w:val="39E549DF"/>
    <w:rsid w:val="39E74AF6"/>
    <w:rsid w:val="39E82420"/>
    <w:rsid w:val="39EB1A0D"/>
    <w:rsid w:val="39EB6D43"/>
    <w:rsid w:val="39EC56AB"/>
    <w:rsid w:val="39ED0847"/>
    <w:rsid w:val="39EE0C58"/>
    <w:rsid w:val="39EF3F42"/>
    <w:rsid w:val="39F33D90"/>
    <w:rsid w:val="39F35DAD"/>
    <w:rsid w:val="39F51BCB"/>
    <w:rsid w:val="39F74BA5"/>
    <w:rsid w:val="39FB3A21"/>
    <w:rsid w:val="39FB57F2"/>
    <w:rsid w:val="39FE23D7"/>
    <w:rsid w:val="39FF3B21"/>
    <w:rsid w:val="3A086BCD"/>
    <w:rsid w:val="3A094097"/>
    <w:rsid w:val="3A097A03"/>
    <w:rsid w:val="3A0D43C8"/>
    <w:rsid w:val="3A110B07"/>
    <w:rsid w:val="3A12378C"/>
    <w:rsid w:val="3A1A5A2E"/>
    <w:rsid w:val="3A1B197C"/>
    <w:rsid w:val="3A1C4505"/>
    <w:rsid w:val="3A1E149D"/>
    <w:rsid w:val="3A1F5EA9"/>
    <w:rsid w:val="3A276A17"/>
    <w:rsid w:val="3A2B7150"/>
    <w:rsid w:val="3A2C5AB3"/>
    <w:rsid w:val="3A2D6000"/>
    <w:rsid w:val="3A2E002F"/>
    <w:rsid w:val="3A2F02C2"/>
    <w:rsid w:val="3A311A58"/>
    <w:rsid w:val="3A31270D"/>
    <w:rsid w:val="3A3236F2"/>
    <w:rsid w:val="3A323E2F"/>
    <w:rsid w:val="3A34488B"/>
    <w:rsid w:val="3A362807"/>
    <w:rsid w:val="3A372449"/>
    <w:rsid w:val="3A383DC5"/>
    <w:rsid w:val="3A3850B3"/>
    <w:rsid w:val="3A385EE2"/>
    <w:rsid w:val="3A3A6096"/>
    <w:rsid w:val="3A3C733D"/>
    <w:rsid w:val="3A40479E"/>
    <w:rsid w:val="3A43428E"/>
    <w:rsid w:val="3A437DEA"/>
    <w:rsid w:val="3A456CD1"/>
    <w:rsid w:val="3A461B7D"/>
    <w:rsid w:val="3A4678DA"/>
    <w:rsid w:val="3A4F49E1"/>
    <w:rsid w:val="3A59463F"/>
    <w:rsid w:val="3A5A3FCB"/>
    <w:rsid w:val="3A5E59FC"/>
    <w:rsid w:val="3A5F42ED"/>
    <w:rsid w:val="3A6164C2"/>
    <w:rsid w:val="3A655D4A"/>
    <w:rsid w:val="3A667F7C"/>
    <w:rsid w:val="3A683CF4"/>
    <w:rsid w:val="3A696ED2"/>
    <w:rsid w:val="3A6A12E5"/>
    <w:rsid w:val="3A6A35C8"/>
    <w:rsid w:val="3A6A3F53"/>
    <w:rsid w:val="3A6C7FD0"/>
    <w:rsid w:val="3A6D4E67"/>
    <w:rsid w:val="3A6F0BDF"/>
    <w:rsid w:val="3A726921"/>
    <w:rsid w:val="3A737AA8"/>
    <w:rsid w:val="3A772D15"/>
    <w:rsid w:val="3A7979DD"/>
    <w:rsid w:val="3A7C0687"/>
    <w:rsid w:val="3A7E52A0"/>
    <w:rsid w:val="3A7F68BF"/>
    <w:rsid w:val="3A834553"/>
    <w:rsid w:val="3A8367CE"/>
    <w:rsid w:val="3A860E3E"/>
    <w:rsid w:val="3A872856"/>
    <w:rsid w:val="3A8F302F"/>
    <w:rsid w:val="3A8F5602"/>
    <w:rsid w:val="3A91106D"/>
    <w:rsid w:val="3A912873"/>
    <w:rsid w:val="3A96013C"/>
    <w:rsid w:val="3A960D01"/>
    <w:rsid w:val="3A9643BE"/>
    <w:rsid w:val="3A98366A"/>
    <w:rsid w:val="3A9C3531"/>
    <w:rsid w:val="3A9E36C1"/>
    <w:rsid w:val="3AA16C0F"/>
    <w:rsid w:val="3AA32404"/>
    <w:rsid w:val="3AA378D9"/>
    <w:rsid w:val="3AA50AA5"/>
    <w:rsid w:val="3AA64206"/>
    <w:rsid w:val="3AA661B2"/>
    <w:rsid w:val="3AA80595"/>
    <w:rsid w:val="3AAC6B47"/>
    <w:rsid w:val="3AAF6A6B"/>
    <w:rsid w:val="3AB46F3A"/>
    <w:rsid w:val="3AB56515"/>
    <w:rsid w:val="3AB74334"/>
    <w:rsid w:val="3AB75C0A"/>
    <w:rsid w:val="3AB762E7"/>
    <w:rsid w:val="3ABB0660"/>
    <w:rsid w:val="3ABC194A"/>
    <w:rsid w:val="3ABC506A"/>
    <w:rsid w:val="3ABF372D"/>
    <w:rsid w:val="3ABF54E6"/>
    <w:rsid w:val="3AC12BBC"/>
    <w:rsid w:val="3AC4583F"/>
    <w:rsid w:val="3AC74C58"/>
    <w:rsid w:val="3AC74FA4"/>
    <w:rsid w:val="3AC802EF"/>
    <w:rsid w:val="3ACA4067"/>
    <w:rsid w:val="3ACE4978"/>
    <w:rsid w:val="3ACE65F4"/>
    <w:rsid w:val="3AD21A0B"/>
    <w:rsid w:val="3AD40A5D"/>
    <w:rsid w:val="3AD46C94"/>
    <w:rsid w:val="3AD81A2B"/>
    <w:rsid w:val="3AD9278E"/>
    <w:rsid w:val="3ADC2E01"/>
    <w:rsid w:val="3ADE5D64"/>
    <w:rsid w:val="3AE06804"/>
    <w:rsid w:val="3AE34725"/>
    <w:rsid w:val="3AEB29F5"/>
    <w:rsid w:val="3AF06717"/>
    <w:rsid w:val="3AF15A98"/>
    <w:rsid w:val="3AF44D8F"/>
    <w:rsid w:val="3AF51997"/>
    <w:rsid w:val="3AF81705"/>
    <w:rsid w:val="3AFB5BB8"/>
    <w:rsid w:val="3AFF03C6"/>
    <w:rsid w:val="3B001968"/>
    <w:rsid w:val="3B001D4C"/>
    <w:rsid w:val="3B0039AA"/>
    <w:rsid w:val="3B042579"/>
    <w:rsid w:val="3B084B8F"/>
    <w:rsid w:val="3B0C4680"/>
    <w:rsid w:val="3B0F60C4"/>
    <w:rsid w:val="3B111D48"/>
    <w:rsid w:val="3B135AA1"/>
    <w:rsid w:val="3B141CB0"/>
    <w:rsid w:val="3B1561E2"/>
    <w:rsid w:val="3B1564C3"/>
    <w:rsid w:val="3B205C3D"/>
    <w:rsid w:val="3B2220F5"/>
    <w:rsid w:val="3B233D01"/>
    <w:rsid w:val="3B263647"/>
    <w:rsid w:val="3B2750EF"/>
    <w:rsid w:val="3B2C4D22"/>
    <w:rsid w:val="3B3140E6"/>
    <w:rsid w:val="3B35464D"/>
    <w:rsid w:val="3B3763D1"/>
    <w:rsid w:val="3B3A1CDA"/>
    <w:rsid w:val="3B3A5955"/>
    <w:rsid w:val="3B3B4F65"/>
    <w:rsid w:val="3B3D719E"/>
    <w:rsid w:val="3B3E219E"/>
    <w:rsid w:val="3B421BDB"/>
    <w:rsid w:val="3B424565"/>
    <w:rsid w:val="3B4630A5"/>
    <w:rsid w:val="3B4660A9"/>
    <w:rsid w:val="3B481924"/>
    <w:rsid w:val="3B4A33FA"/>
    <w:rsid w:val="3B4D02BA"/>
    <w:rsid w:val="3B4D1C93"/>
    <w:rsid w:val="3B5129DA"/>
    <w:rsid w:val="3B5224A4"/>
    <w:rsid w:val="3B523777"/>
    <w:rsid w:val="3B563884"/>
    <w:rsid w:val="3B583D69"/>
    <w:rsid w:val="3B5A56EF"/>
    <w:rsid w:val="3B5D137F"/>
    <w:rsid w:val="3B5D366C"/>
    <w:rsid w:val="3B5F0C53"/>
    <w:rsid w:val="3B643584"/>
    <w:rsid w:val="3B682357"/>
    <w:rsid w:val="3B6B3A9C"/>
    <w:rsid w:val="3B6C511E"/>
    <w:rsid w:val="3B716BD9"/>
    <w:rsid w:val="3B720877"/>
    <w:rsid w:val="3B747371"/>
    <w:rsid w:val="3B781D15"/>
    <w:rsid w:val="3B7D2D82"/>
    <w:rsid w:val="3B7D3761"/>
    <w:rsid w:val="3B7D37CF"/>
    <w:rsid w:val="3B7D557D"/>
    <w:rsid w:val="3B7D6B9E"/>
    <w:rsid w:val="3B810365"/>
    <w:rsid w:val="3B871F58"/>
    <w:rsid w:val="3B88719E"/>
    <w:rsid w:val="3B8C3E53"/>
    <w:rsid w:val="3B912DD7"/>
    <w:rsid w:val="3B997227"/>
    <w:rsid w:val="3B9A1A77"/>
    <w:rsid w:val="3B9B48A9"/>
    <w:rsid w:val="3B9B5A04"/>
    <w:rsid w:val="3BA205F0"/>
    <w:rsid w:val="3BA37440"/>
    <w:rsid w:val="3BA504EC"/>
    <w:rsid w:val="3BA7084C"/>
    <w:rsid w:val="3BA778FF"/>
    <w:rsid w:val="3BAC4555"/>
    <w:rsid w:val="3BAC5E63"/>
    <w:rsid w:val="3BAC7C11"/>
    <w:rsid w:val="3BB17927"/>
    <w:rsid w:val="3BB4263D"/>
    <w:rsid w:val="3BB43871"/>
    <w:rsid w:val="3BBA444C"/>
    <w:rsid w:val="3BBB11DD"/>
    <w:rsid w:val="3BBC1BB5"/>
    <w:rsid w:val="3BBE32F5"/>
    <w:rsid w:val="3BC22A6D"/>
    <w:rsid w:val="3BC76033"/>
    <w:rsid w:val="3BC944D9"/>
    <w:rsid w:val="3BC96D33"/>
    <w:rsid w:val="3BCA5E83"/>
    <w:rsid w:val="3BCC0723"/>
    <w:rsid w:val="3BD00AF5"/>
    <w:rsid w:val="3BD55A46"/>
    <w:rsid w:val="3BD923CB"/>
    <w:rsid w:val="3BD93E6E"/>
    <w:rsid w:val="3BDD6C91"/>
    <w:rsid w:val="3BDE785F"/>
    <w:rsid w:val="3BE54C47"/>
    <w:rsid w:val="3BE62859"/>
    <w:rsid w:val="3BE7084A"/>
    <w:rsid w:val="3BE744AE"/>
    <w:rsid w:val="3BE748F8"/>
    <w:rsid w:val="3BE92C13"/>
    <w:rsid w:val="3BEB5B2F"/>
    <w:rsid w:val="3BEC2DAE"/>
    <w:rsid w:val="3BED168D"/>
    <w:rsid w:val="3BED5A28"/>
    <w:rsid w:val="3BEE4347"/>
    <w:rsid w:val="3BF23958"/>
    <w:rsid w:val="3BF65028"/>
    <w:rsid w:val="3BF910A8"/>
    <w:rsid w:val="3BFA27DC"/>
    <w:rsid w:val="3BFB79FF"/>
    <w:rsid w:val="3BFC3324"/>
    <w:rsid w:val="3C001F11"/>
    <w:rsid w:val="3C0423AD"/>
    <w:rsid w:val="3C047A4D"/>
    <w:rsid w:val="3C083460"/>
    <w:rsid w:val="3C090848"/>
    <w:rsid w:val="3C095FCD"/>
    <w:rsid w:val="3C0A5FE9"/>
    <w:rsid w:val="3C0C55DD"/>
    <w:rsid w:val="3C0D6901"/>
    <w:rsid w:val="3C120CA5"/>
    <w:rsid w:val="3C1A101E"/>
    <w:rsid w:val="3C1C3E01"/>
    <w:rsid w:val="3C1C4E45"/>
    <w:rsid w:val="3C1D0ABD"/>
    <w:rsid w:val="3C1D696F"/>
    <w:rsid w:val="3C1E0B0E"/>
    <w:rsid w:val="3C205F31"/>
    <w:rsid w:val="3C2158F2"/>
    <w:rsid w:val="3C272120"/>
    <w:rsid w:val="3C283A82"/>
    <w:rsid w:val="3C2854E9"/>
    <w:rsid w:val="3C2A5345"/>
    <w:rsid w:val="3C2B247F"/>
    <w:rsid w:val="3C2D0D52"/>
    <w:rsid w:val="3C2D3848"/>
    <w:rsid w:val="3C2D6F92"/>
    <w:rsid w:val="3C2E6878"/>
    <w:rsid w:val="3C2F4DF6"/>
    <w:rsid w:val="3C2F6E1E"/>
    <w:rsid w:val="3C3051C9"/>
    <w:rsid w:val="3C3069AD"/>
    <w:rsid w:val="3C3C71E7"/>
    <w:rsid w:val="3C3E3868"/>
    <w:rsid w:val="3C4078B3"/>
    <w:rsid w:val="3C4165AB"/>
    <w:rsid w:val="3C41668F"/>
    <w:rsid w:val="3C4232FD"/>
    <w:rsid w:val="3C43115A"/>
    <w:rsid w:val="3C432323"/>
    <w:rsid w:val="3C450DFB"/>
    <w:rsid w:val="3C452350"/>
    <w:rsid w:val="3C463BC1"/>
    <w:rsid w:val="3C477FB1"/>
    <w:rsid w:val="3C481629"/>
    <w:rsid w:val="3C484732"/>
    <w:rsid w:val="3C487939"/>
    <w:rsid w:val="3C4935E8"/>
    <w:rsid w:val="3C495460"/>
    <w:rsid w:val="3C4A129E"/>
    <w:rsid w:val="3C4B0A6C"/>
    <w:rsid w:val="3C4B567C"/>
    <w:rsid w:val="3C4C0229"/>
    <w:rsid w:val="3C4D1D12"/>
    <w:rsid w:val="3C4D2BCC"/>
    <w:rsid w:val="3C4E4BA9"/>
    <w:rsid w:val="3C4F64BA"/>
    <w:rsid w:val="3C5017FE"/>
    <w:rsid w:val="3C542BAA"/>
    <w:rsid w:val="3C577A48"/>
    <w:rsid w:val="3C5C56AB"/>
    <w:rsid w:val="3C5E3AD6"/>
    <w:rsid w:val="3C642299"/>
    <w:rsid w:val="3C664263"/>
    <w:rsid w:val="3C675065"/>
    <w:rsid w:val="3C681217"/>
    <w:rsid w:val="3C691883"/>
    <w:rsid w:val="3C6B3628"/>
    <w:rsid w:val="3C70130D"/>
    <w:rsid w:val="3C710B37"/>
    <w:rsid w:val="3C790E13"/>
    <w:rsid w:val="3C7A1ABD"/>
    <w:rsid w:val="3C7D70DA"/>
    <w:rsid w:val="3C7E68FC"/>
    <w:rsid w:val="3C7E7972"/>
    <w:rsid w:val="3C7F4232"/>
    <w:rsid w:val="3C7F57C6"/>
    <w:rsid w:val="3C805991"/>
    <w:rsid w:val="3C876996"/>
    <w:rsid w:val="3C8A44C4"/>
    <w:rsid w:val="3C8A61A4"/>
    <w:rsid w:val="3C8F7096"/>
    <w:rsid w:val="3C933902"/>
    <w:rsid w:val="3C942B7F"/>
    <w:rsid w:val="3C9506A5"/>
    <w:rsid w:val="3C950F0C"/>
    <w:rsid w:val="3C97441D"/>
    <w:rsid w:val="3C9B2DF4"/>
    <w:rsid w:val="3C9B5CF4"/>
    <w:rsid w:val="3C9C356B"/>
    <w:rsid w:val="3C9C5ED7"/>
    <w:rsid w:val="3CA1529C"/>
    <w:rsid w:val="3CA26EB3"/>
    <w:rsid w:val="3CA31D0B"/>
    <w:rsid w:val="3CAB7FB7"/>
    <w:rsid w:val="3CAC481C"/>
    <w:rsid w:val="3CB04B3A"/>
    <w:rsid w:val="3CB274A9"/>
    <w:rsid w:val="3CB40377"/>
    <w:rsid w:val="3CB46D7D"/>
    <w:rsid w:val="3CB64AB9"/>
    <w:rsid w:val="3CB66F99"/>
    <w:rsid w:val="3CB74ABF"/>
    <w:rsid w:val="3CBF4A61"/>
    <w:rsid w:val="3CC25EAD"/>
    <w:rsid w:val="3CC32709"/>
    <w:rsid w:val="3CC33439"/>
    <w:rsid w:val="3CCF005B"/>
    <w:rsid w:val="3CCF3BB7"/>
    <w:rsid w:val="3CD17313"/>
    <w:rsid w:val="3CD1792F"/>
    <w:rsid w:val="3CD92C87"/>
    <w:rsid w:val="3CD972A2"/>
    <w:rsid w:val="3CDA245A"/>
    <w:rsid w:val="3CDC4526"/>
    <w:rsid w:val="3CDD458E"/>
    <w:rsid w:val="3CDE3DFA"/>
    <w:rsid w:val="3CDF6C62"/>
    <w:rsid w:val="3CE10B19"/>
    <w:rsid w:val="3CE138EA"/>
    <w:rsid w:val="3CE24DF8"/>
    <w:rsid w:val="3CE46383"/>
    <w:rsid w:val="3CE54EBA"/>
    <w:rsid w:val="3CE82D7E"/>
    <w:rsid w:val="3CE84C78"/>
    <w:rsid w:val="3CE93077"/>
    <w:rsid w:val="3CEC0A7B"/>
    <w:rsid w:val="3CEC39DE"/>
    <w:rsid w:val="3CED1F0B"/>
    <w:rsid w:val="3CF065FA"/>
    <w:rsid w:val="3CF11D7F"/>
    <w:rsid w:val="3CF47AC1"/>
    <w:rsid w:val="3CF63839"/>
    <w:rsid w:val="3CF655E7"/>
    <w:rsid w:val="3CFC4774"/>
    <w:rsid w:val="3CFD4BC8"/>
    <w:rsid w:val="3CFE26EE"/>
    <w:rsid w:val="3D012AA3"/>
    <w:rsid w:val="3D015D3A"/>
    <w:rsid w:val="3D0458F9"/>
    <w:rsid w:val="3D0C04D6"/>
    <w:rsid w:val="3D125759"/>
    <w:rsid w:val="3D141416"/>
    <w:rsid w:val="3D1617E6"/>
    <w:rsid w:val="3D186028"/>
    <w:rsid w:val="3D1A7435"/>
    <w:rsid w:val="3D1B504E"/>
    <w:rsid w:val="3D1D0AD7"/>
    <w:rsid w:val="3D1D0DC6"/>
    <w:rsid w:val="3D1E06B7"/>
    <w:rsid w:val="3D2059CA"/>
    <w:rsid w:val="3D2075FF"/>
    <w:rsid w:val="3D210762"/>
    <w:rsid w:val="3D2268DE"/>
    <w:rsid w:val="3D25335F"/>
    <w:rsid w:val="3D275A74"/>
    <w:rsid w:val="3D285CC9"/>
    <w:rsid w:val="3D2F28A7"/>
    <w:rsid w:val="3D2F4AD1"/>
    <w:rsid w:val="3D324146"/>
    <w:rsid w:val="3D34687C"/>
    <w:rsid w:val="3D347285"/>
    <w:rsid w:val="3D3A1978"/>
    <w:rsid w:val="3D3F373D"/>
    <w:rsid w:val="3D406863"/>
    <w:rsid w:val="3D4457A6"/>
    <w:rsid w:val="3D46625E"/>
    <w:rsid w:val="3D481267"/>
    <w:rsid w:val="3D485834"/>
    <w:rsid w:val="3D494844"/>
    <w:rsid w:val="3D4B238E"/>
    <w:rsid w:val="3D4E3B70"/>
    <w:rsid w:val="3D517176"/>
    <w:rsid w:val="3D552F0E"/>
    <w:rsid w:val="3D56794A"/>
    <w:rsid w:val="3D573146"/>
    <w:rsid w:val="3D5A4036"/>
    <w:rsid w:val="3D5C03F7"/>
    <w:rsid w:val="3D5D5411"/>
    <w:rsid w:val="3D5D7415"/>
    <w:rsid w:val="3D5F13DF"/>
    <w:rsid w:val="3D5F318D"/>
    <w:rsid w:val="3D606836"/>
    <w:rsid w:val="3D622C7D"/>
    <w:rsid w:val="3D6264D8"/>
    <w:rsid w:val="3D632DEE"/>
    <w:rsid w:val="3D6476C7"/>
    <w:rsid w:val="3D655F5E"/>
    <w:rsid w:val="3D6849F5"/>
    <w:rsid w:val="3D6A795E"/>
    <w:rsid w:val="3D6C348D"/>
    <w:rsid w:val="3D6D3054"/>
    <w:rsid w:val="3D6F14AB"/>
    <w:rsid w:val="3D706B42"/>
    <w:rsid w:val="3D711F5C"/>
    <w:rsid w:val="3D72475F"/>
    <w:rsid w:val="3D744EB3"/>
    <w:rsid w:val="3D762284"/>
    <w:rsid w:val="3D775F0D"/>
    <w:rsid w:val="3D78634C"/>
    <w:rsid w:val="3D7B789B"/>
    <w:rsid w:val="3D7E5FA8"/>
    <w:rsid w:val="3D803237"/>
    <w:rsid w:val="3D804925"/>
    <w:rsid w:val="3D826A50"/>
    <w:rsid w:val="3D850719"/>
    <w:rsid w:val="3D864B4F"/>
    <w:rsid w:val="3D87520B"/>
    <w:rsid w:val="3D89278C"/>
    <w:rsid w:val="3D8941A4"/>
    <w:rsid w:val="3D8B528A"/>
    <w:rsid w:val="3D8F3346"/>
    <w:rsid w:val="3D8F6830"/>
    <w:rsid w:val="3D913562"/>
    <w:rsid w:val="3D925E7A"/>
    <w:rsid w:val="3D937D2A"/>
    <w:rsid w:val="3D9D1208"/>
    <w:rsid w:val="3D9D1F07"/>
    <w:rsid w:val="3D9D2922"/>
    <w:rsid w:val="3D9D3CB5"/>
    <w:rsid w:val="3DA768E2"/>
    <w:rsid w:val="3DAF5796"/>
    <w:rsid w:val="3DB039E8"/>
    <w:rsid w:val="3DB1150E"/>
    <w:rsid w:val="3DB36280"/>
    <w:rsid w:val="3DB55462"/>
    <w:rsid w:val="3DB56E93"/>
    <w:rsid w:val="3DB65186"/>
    <w:rsid w:val="3DB84D61"/>
    <w:rsid w:val="3DBD6105"/>
    <w:rsid w:val="3DBF072E"/>
    <w:rsid w:val="3DC41621"/>
    <w:rsid w:val="3DC82246"/>
    <w:rsid w:val="3DC82943"/>
    <w:rsid w:val="3DC91E69"/>
    <w:rsid w:val="3DCA1FF0"/>
    <w:rsid w:val="3DCB1361"/>
    <w:rsid w:val="3DCF5028"/>
    <w:rsid w:val="3DD1570D"/>
    <w:rsid w:val="3DD551FD"/>
    <w:rsid w:val="3DDB7276"/>
    <w:rsid w:val="3DDD2303"/>
    <w:rsid w:val="3DE05C41"/>
    <w:rsid w:val="3DE354C6"/>
    <w:rsid w:val="3DE50804"/>
    <w:rsid w:val="3DE511B8"/>
    <w:rsid w:val="3DE67131"/>
    <w:rsid w:val="3DEA30FD"/>
    <w:rsid w:val="3DEE14F8"/>
    <w:rsid w:val="3DEE62BF"/>
    <w:rsid w:val="3DF33C02"/>
    <w:rsid w:val="3DF409A7"/>
    <w:rsid w:val="3DF43A7A"/>
    <w:rsid w:val="3DF44CC0"/>
    <w:rsid w:val="3DFA5A6F"/>
    <w:rsid w:val="3DFC10EB"/>
    <w:rsid w:val="3DFC73C1"/>
    <w:rsid w:val="3E005B5B"/>
    <w:rsid w:val="3E027FBC"/>
    <w:rsid w:val="3E0407C1"/>
    <w:rsid w:val="3E0755D2"/>
    <w:rsid w:val="3E0B0476"/>
    <w:rsid w:val="3E0C3470"/>
    <w:rsid w:val="3E0C5CCA"/>
    <w:rsid w:val="3E0E4BB3"/>
    <w:rsid w:val="3E10092B"/>
    <w:rsid w:val="3E104487"/>
    <w:rsid w:val="3E106555"/>
    <w:rsid w:val="3E120231"/>
    <w:rsid w:val="3E131863"/>
    <w:rsid w:val="3E133F77"/>
    <w:rsid w:val="3E143A72"/>
    <w:rsid w:val="3E147137"/>
    <w:rsid w:val="3E157CEF"/>
    <w:rsid w:val="3E17400F"/>
    <w:rsid w:val="3E1C107E"/>
    <w:rsid w:val="3E1D4930"/>
    <w:rsid w:val="3E1D5DCB"/>
    <w:rsid w:val="3E1E56B6"/>
    <w:rsid w:val="3E231DE6"/>
    <w:rsid w:val="3E237F78"/>
    <w:rsid w:val="3E244C59"/>
    <w:rsid w:val="3E261EFC"/>
    <w:rsid w:val="3E263CAA"/>
    <w:rsid w:val="3E2A206A"/>
    <w:rsid w:val="3E2A6F35"/>
    <w:rsid w:val="3E2B094F"/>
    <w:rsid w:val="3E304B29"/>
    <w:rsid w:val="3E3420A0"/>
    <w:rsid w:val="3E357FFF"/>
    <w:rsid w:val="3E375EB7"/>
    <w:rsid w:val="3E3839DE"/>
    <w:rsid w:val="3E39158D"/>
    <w:rsid w:val="3E3C1720"/>
    <w:rsid w:val="3E3F6B1A"/>
    <w:rsid w:val="3E40702A"/>
    <w:rsid w:val="3E407ADA"/>
    <w:rsid w:val="3E4242E6"/>
    <w:rsid w:val="3E4520C8"/>
    <w:rsid w:val="3E495293"/>
    <w:rsid w:val="3E4A0405"/>
    <w:rsid w:val="3E4D1237"/>
    <w:rsid w:val="3E4D3AD0"/>
    <w:rsid w:val="3E4E37F7"/>
    <w:rsid w:val="3E4F64F3"/>
    <w:rsid w:val="3E5559D7"/>
    <w:rsid w:val="3E5972B5"/>
    <w:rsid w:val="3E5A221B"/>
    <w:rsid w:val="3E5B1209"/>
    <w:rsid w:val="3E5C4214"/>
    <w:rsid w:val="3E5C591E"/>
    <w:rsid w:val="3E5E5A68"/>
    <w:rsid w:val="3E612F34"/>
    <w:rsid w:val="3E6622F9"/>
    <w:rsid w:val="3E68018B"/>
    <w:rsid w:val="3E691DE9"/>
    <w:rsid w:val="3E6B1215"/>
    <w:rsid w:val="3E6B3DB3"/>
    <w:rsid w:val="3E6E11AD"/>
    <w:rsid w:val="3E6E73FF"/>
    <w:rsid w:val="3E7078BA"/>
    <w:rsid w:val="3E720C9E"/>
    <w:rsid w:val="3E73409D"/>
    <w:rsid w:val="3E75078E"/>
    <w:rsid w:val="3E75253C"/>
    <w:rsid w:val="3E7569E0"/>
    <w:rsid w:val="3E815AAD"/>
    <w:rsid w:val="3E8223DF"/>
    <w:rsid w:val="3E8334B2"/>
    <w:rsid w:val="3E833DFF"/>
    <w:rsid w:val="3E8600AC"/>
    <w:rsid w:val="3E86719B"/>
    <w:rsid w:val="3E874915"/>
    <w:rsid w:val="3E8C358E"/>
    <w:rsid w:val="3E905A03"/>
    <w:rsid w:val="3E9171EE"/>
    <w:rsid w:val="3E941390"/>
    <w:rsid w:val="3E94330A"/>
    <w:rsid w:val="3E950B14"/>
    <w:rsid w:val="3E9839B6"/>
    <w:rsid w:val="3E9A0627"/>
    <w:rsid w:val="3E9D2F22"/>
    <w:rsid w:val="3E9D3E76"/>
    <w:rsid w:val="3E9F0FD0"/>
    <w:rsid w:val="3EA55D9E"/>
    <w:rsid w:val="3EA74DB9"/>
    <w:rsid w:val="3EA846BF"/>
    <w:rsid w:val="3EAB0654"/>
    <w:rsid w:val="3EAB2402"/>
    <w:rsid w:val="3EB07A18"/>
    <w:rsid w:val="3EB16E81"/>
    <w:rsid w:val="3EBA3B93"/>
    <w:rsid w:val="3EBC4B86"/>
    <w:rsid w:val="3EBC63BD"/>
    <w:rsid w:val="3EBF3EF4"/>
    <w:rsid w:val="3EC13E59"/>
    <w:rsid w:val="3EC32056"/>
    <w:rsid w:val="3EC33C3E"/>
    <w:rsid w:val="3EC3693C"/>
    <w:rsid w:val="3EC51715"/>
    <w:rsid w:val="3EC56AB2"/>
    <w:rsid w:val="3EC62D97"/>
    <w:rsid w:val="3EC9043C"/>
    <w:rsid w:val="3EC96419"/>
    <w:rsid w:val="3ECE4982"/>
    <w:rsid w:val="3ED57B2D"/>
    <w:rsid w:val="3EDA0523"/>
    <w:rsid w:val="3EDE5EA3"/>
    <w:rsid w:val="3EE14075"/>
    <w:rsid w:val="3EE25234"/>
    <w:rsid w:val="3EE25B4D"/>
    <w:rsid w:val="3EE31B9B"/>
    <w:rsid w:val="3EE55913"/>
    <w:rsid w:val="3EE871B2"/>
    <w:rsid w:val="3EE939CC"/>
    <w:rsid w:val="3EEA5953"/>
    <w:rsid w:val="3EF20030"/>
    <w:rsid w:val="3EF612F1"/>
    <w:rsid w:val="3EF67B21"/>
    <w:rsid w:val="3EF868E3"/>
    <w:rsid w:val="3F035D9A"/>
    <w:rsid w:val="3F042907"/>
    <w:rsid w:val="3F051B12"/>
    <w:rsid w:val="3F08699F"/>
    <w:rsid w:val="3F0A33D1"/>
    <w:rsid w:val="3F1069F4"/>
    <w:rsid w:val="3F11495A"/>
    <w:rsid w:val="3F11664C"/>
    <w:rsid w:val="3F1461F9"/>
    <w:rsid w:val="3F147FA7"/>
    <w:rsid w:val="3F1534E9"/>
    <w:rsid w:val="3F1665F9"/>
    <w:rsid w:val="3F170B37"/>
    <w:rsid w:val="3F1735F3"/>
    <w:rsid w:val="3F1A3926"/>
    <w:rsid w:val="3F1B5CF2"/>
    <w:rsid w:val="3F1C6E5B"/>
    <w:rsid w:val="3F217D4D"/>
    <w:rsid w:val="3F222C66"/>
    <w:rsid w:val="3F223632"/>
    <w:rsid w:val="3F226CD7"/>
    <w:rsid w:val="3F242AD5"/>
    <w:rsid w:val="3F2867FF"/>
    <w:rsid w:val="3F2877A0"/>
    <w:rsid w:val="3F2B0F36"/>
    <w:rsid w:val="3F2E4A13"/>
    <w:rsid w:val="3F332CFB"/>
    <w:rsid w:val="3F340649"/>
    <w:rsid w:val="3F3423F7"/>
    <w:rsid w:val="3F363DD0"/>
    <w:rsid w:val="3F36616F"/>
    <w:rsid w:val="3F38176A"/>
    <w:rsid w:val="3F3A3821"/>
    <w:rsid w:val="3F3C4DFA"/>
    <w:rsid w:val="3F3E5024"/>
    <w:rsid w:val="3F3F3186"/>
    <w:rsid w:val="3F404B6D"/>
    <w:rsid w:val="3F421B33"/>
    <w:rsid w:val="3F450160"/>
    <w:rsid w:val="3F4A0E8C"/>
    <w:rsid w:val="3F4A1C1A"/>
    <w:rsid w:val="3F4B1DF5"/>
    <w:rsid w:val="3F504FC4"/>
    <w:rsid w:val="3F513F7A"/>
    <w:rsid w:val="3F541D24"/>
    <w:rsid w:val="3F544847"/>
    <w:rsid w:val="3F5605BF"/>
    <w:rsid w:val="3F5636D2"/>
    <w:rsid w:val="3F5672FF"/>
    <w:rsid w:val="3F574A9D"/>
    <w:rsid w:val="3F587384"/>
    <w:rsid w:val="3F5E4203"/>
    <w:rsid w:val="3F5E56C6"/>
    <w:rsid w:val="3F632CDC"/>
    <w:rsid w:val="3F682BC0"/>
    <w:rsid w:val="3F6A25B2"/>
    <w:rsid w:val="3F6F1681"/>
    <w:rsid w:val="3F6F51DD"/>
    <w:rsid w:val="3F702ABE"/>
    <w:rsid w:val="3F705B7B"/>
    <w:rsid w:val="3F732F1F"/>
    <w:rsid w:val="3F760038"/>
    <w:rsid w:val="3F797C95"/>
    <w:rsid w:val="3F7A4198"/>
    <w:rsid w:val="3F7B6278"/>
    <w:rsid w:val="3F7D23A5"/>
    <w:rsid w:val="3F7D3D9E"/>
    <w:rsid w:val="3F7D5B12"/>
    <w:rsid w:val="3F7D7851"/>
    <w:rsid w:val="3F8073EA"/>
    <w:rsid w:val="3F813C0F"/>
    <w:rsid w:val="3F8213B4"/>
    <w:rsid w:val="3F830C89"/>
    <w:rsid w:val="3F8316CD"/>
    <w:rsid w:val="3F850EA5"/>
    <w:rsid w:val="3F88012F"/>
    <w:rsid w:val="3F8B0CE9"/>
    <w:rsid w:val="3F8C5FBA"/>
    <w:rsid w:val="3F914864"/>
    <w:rsid w:val="3F933F83"/>
    <w:rsid w:val="3F966C0E"/>
    <w:rsid w:val="3F970711"/>
    <w:rsid w:val="3F97773D"/>
    <w:rsid w:val="3F9904AC"/>
    <w:rsid w:val="3F9B5FD2"/>
    <w:rsid w:val="3F9F5EFD"/>
    <w:rsid w:val="3FA03614"/>
    <w:rsid w:val="3FA06A60"/>
    <w:rsid w:val="3FA27361"/>
    <w:rsid w:val="3FA522A9"/>
    <w:rsid w:val="3FA6170A"/>
    <w:rsid w:val="3FA67FAE"/>
    <w:rsid w:val="3FA81778"/>
    <w:rsid w:val="3FA901F7"/>
    <w:rsid w:val="3FA92C08"/>
    <w:rsid w:val="3FAA4B3A"/>
    <w:rsid w:val="3FAF1572"/>
    <w:rsid w:val="3FB07F0A"/>
    <w:rsid w:val="3FB3156E"/>
    <w:rsid w:val="3FB5178A"/>
    <w:rsid w:val="3FB639A7"/>
    <w:rsid w:val="3FB6647A"/>
    <w:rsid w:val="3FB84DD6"/>
    <w:rsid w:val="3FB9136B"/>
    <w:rsid w:val="3FB94B9E"/>
    <w:rsid w:val="3FC03C8B"/>
    <w:rsid w:val="3FC217B1"/>
    <w:rsid w:val="3FC429B1"/>
    <w:rsid w:val="3FC75019"/>
    <w:rsid w:val="3FC878D3"/>
    <w:rsid w:val="3FC96FE3"/>
    <w:rsid w:val="3FCB054A"/>
    <w:rsid w:val="3FCC1C2F"/>
    <w:rsid w:val="3FCE08F8"/>
    <w:rsid w:val="3FCE63A8"/>
    <w:rsid w:val="3FCF020E"/>
    <w:rsid w:val="3FD25FE1"/>
    <w:rsid w:val="3FD70683"/>
    <w:rsid w:val="3FDB0AC5"/>
    <w:rsid w:val="3FDE12F9"/>
    <w:rsid w:val="3FDE5DFB"/>
    <w:rsid w:val="3FE273D9"/>
    <w:rsid w:val="3FE40C28"/>
    <w:rsid w:val="3FE54F60"/>
    <w:rsid w:val="3FE670EB"/>
    <w:rsid w:val="3FE75C88"/>
    <w:rsid w:val="3FE7628D"/>
    <w:rsid w:val="3FE91433"/>
    <w:rsid w:val="3FEC0B53"/>
    <w:rsid w:val="3FEC3964"/>
    <w:rsid w:val="3FED2900"/>
    <w:rsid w:val="3FEF4424"/>
    <w:rsid w:val="3FEF631E"/>
    <w:rsid w:val="3FF03FFB"/>
    <w:rsid w:val="3FF04570"/>
    <w:rsid w:val="3FF57E31"/>
    <w:rsid w:val="3FF61ECB"/>
    <w:rsid w:val="3FF71960"/>
    <w:rsid w:val="3FF71C7E"/>
    <w:rsid w:val="3FF9519F"/>
    <w:rsid w:val="3FFB4CC3"/>
    <w:rsid w:val="3FFC7B54"/>
    <w:rsid w:val="3FFD67E9"/>
    <w:rsid w:val="3FFF47B3"/>
    <w:rsid w:val="40004ECB"/>
    <w:rsid w:val="400224F5"/>
    <w:rsid w:val="4005421E"/>
    <w:rsid w:val="40060C40"/>
    <w:rsid w:val="40073668"/>
    <w:rsid w:val="40077A42"/>
    <w:rsid w:val="400C49EB"/>
    <w:rsid w:val="40115E17"/>
    <w:rsid w:val="40162BFE"/>
    <w:rsid w:val="401670B8"/>
    <w:rsid w:val="4017067F"/>
    <w:rsid w:val="4017696D"/>
    <w:rsid w:val="40180BED"/>
    <w:rsid w:val="40195E74"/>
    <w:rsid w:val="401A339B"/>
    <w:rsid w:val="401A783F"/>
    <w:rsid w:val="401D10DD"/>
    <w:rsid w:val="401E550E"/>
    <w:rsid w:val="401F6C03"/>
    <w:rsid w:val="402112BD"/>
    <w:rsid w:val="40220301"/>
    <w:rsid w:val="40287F7B"/>
    <w:rsid w:val="40290B00"/>
    <w:rsid w:val="402A109E"/>
    <w:rsid w:val="402A1976"/>
    <w:rsid w:val="402B37FA"/>
    <w:rsid w:val="402B55A8"/>
    <w:rsid w:val="402F5085"/>
    <w:rsid w:val="4031246E"/>
    <w:rsid w:val="4035555D"/>
    <w:rsid w:val="40356427"/>
    <w:rsid w:val="40361B6B"/>
    <w:rsid w:val="403B034D"/>
    <w:rsid w:val="403B48D8"/>
    <w:rsid w:val="403C3FEA"/>
    <w:rsid w:val="403D352D"/>
    <w:rsid w:val="40415C0B"/>
    <w:rsid w:val="4042033B"/>
    <w:rsid w:val="404228F2"/>
    <w:rsid w:val="4047615A"/>
    <w:rsid w:val="404909FF"/>
    <w:rsid w:val="40491ED2"/>
    <w:rsid w:val="404C6525"/>
    <w:rsid w:val="404D5F18"/>
    <w:rsid w:val="404E43BC"/>
    <w:rsid w:val="40504E9C"/>
    <w:rsid w:val="405141D0"/>
    <w:rsid w:val="405763C3"/>
    <w:rsid w:val="40580367"/>
    <w:rsid w:val="405B0B5C"/>
    <w:rsid w:val="406878D0"/>
    <w:rsid w:val="407226A0"/>
    <w:rsid w:val="407319FE"/>
    <w:rsid w:val="40742122"/>
    <w:rsid w:val="407805EB"/>
    <w:rsid w:val="40786313"/>
    <w:rsid w:val="407A6407"/>
    <w:rsid w:val="407D35D5"/>
    <w:rsid w:val="407F4473"/>
    <w:rsid w:val="40827192"/>
    <w:rsid w:val="408353E4"/>
    <w:rsid w:val="40842F0A"/>
    <w:rsid w:val="40860A30"/>
    <w:rsid w:val="40860ADA"/>
    <w:rsid w:val="40882E9A"/>
    <w:rsid w:val="408E3D89"/>
    <w:rsid w:val="40970919"/>
    <w:rsid w:val="409A7AEB"/>
    <w:rsid w:val="409C46F8"/>
    <w:rsid w:val="409C639C"/>
    <w:rsid w:val="409D5D7A"/>
    <w:rsid w:val="40A079FF"/>
    <w:rsid w:val="40A07FA9"/>
    <w:rsid w:val="40A1688D"/>
    <w:rsid w:val="40A2464F"/>
    <w:rsid w:val="40A435AC"/>
    <w:rsid w:val="40A4535A"/>
    <w:rsid w:val="40A50FEF"/>
    <w:rsid w:val="40A52E97"/>
    <w:rsid w:val="40A62FAE"/>
    <w:rsid w:val="40A820A2"/>
    <w:rsid w:val="40A97E53"/>
    <w:rsid w:val="40AA4E86"/>
    <w:rsid w:val="40AB32A2"/>
    <w:rsid w:val="40AB493B"/>
    <w:rsid w:val="40AB7970"/>
    <w:rsid w:val="40AE30FC"/>
    <w:rsid w:val="40AE3D33"/>
    <w:rsid w:val="40AE7F9B"/>
    <w:rsid w:val="40AF28BE"/>
    <w:rsid w:val="40B27A77"/>
    <w:rsid w:val="40B43B84"/>
    <w:rsid w:val="40B563F6"/>
    <w:rsid w:val="40B65DC1"/>
    <w:rsid w:val="40BB2268"/>
    <w:rsid w:val="40BE18A7"/>
    <w:rsid w:val="40C357E1"/>
    <w:rsid w:val="40C60FE8"/>
    <w:rsid w:val="40C70A66"/>
    <w:rsid w:val="40C94DC1"/>
    <w:rsid w:val="40CB299E"/>
    <w:rsid w:val="40CB6139"/>
    <w:rsid w:val="40CC7ACB"/>
    <w:rsid w:val="40CE6C7E"/>
    <w:rsid w:val="40CF10C3"/>
    <w:rsid w:val="40D043A1"/>
    <w:rsid w:val="40D15BCF"/>
    <w:rsid w:val="40D23585"/>
    <w:rsid w:val="40D2615A"/>
    <w:rsid w:val="40D43E92"/>
    <w:rsid w:val="40DA6FCE"/>
    <w:rsid w:val="40E17D73"/>
    <w:rsid w:val="40E20AE2"/>
    <w:rsid w:val="40E32BD1"/>
    <w:rsid w:val="40E35E83"/>
    <w:rsid w:val="40E67AAF"/>
    <w:rsid w:val="40E816EB"/>
    <w:rsid w:val="40E85247"/>
    <w:rsid w:val="40EA5463"/>
    <w:rsid w:val="40ED0AAF"/>
    <w:rsid w:val="40EE3E7E"/>
    <w:rsid w:val="40EE65D6"/>
    <w:rsid w:val="40F167F2"/>
    <w:rsid w:val="40F217A7"/>
    <w:rsid w:val="40F252EA"/>
    <w:rsid w:val="40F462E2"/>
    <w:rsid w:val="40F6463E"/>
    <w:rsid w:val="40F86E0D"/>
    <w:rsid w:val="40F9045F"/>
    <w:rsid w:val="40F938F8"/>
    <w:rsid w:val="40F956A6"/>
    <w:rsid w:val="40F97454"/>
    <w:rsid w:val="40FB7933"/>
    <w:rsid w:val="40FC6F44"/>
    <w:rsid w:val="40FD6DCE"/>
    <w:rsid w:val="40FE1D88"/>
    <w:rsid w:val="40FE2CBD"/>
    <w:rsid w:val="40FF5994"/>
    <w:rsid w:val="41004C87"/>
    <w:rsid w:val="41006836"/>
    <w:rsid w:val="41061574"/>
    <w:rsid w:val="41076015"/>
    <w:rsid w:val="410922DA"/>
    <w:rsid w:val="41094402"/>
    <w:rsid w:val="410A1661"/>
    <w:rsid w:val="410B53D9"/>
    <w:rsid w:val="410C0680"/>
    <w:rsid w:val="411004E3"/>
    <w:rsid w:val="41102386"/>
    <w:rsid w:val="41107ECF"/>
    <w:rsid w:val="411277BA"/>
    <w:rsid w:val="41175B2C"/>
    <w:rsid w:val="411918A4"/>
    <w:rsid w:val="411A0D8B"/>
    <w:rsid w:val="411B3B87"/>
    <w:rsid w:val="411B47E0"/>
    <w:rsid w:val="4121421D"/>
    <w:rsid w:val="41235477"/>
    <w:rsid w:val="41272213"/>
    <w:rsid w:val="412771A8"/>
    <w:rsid w:val="41294496"/>
    <w:rsid w:val="412A1D04"/>
    <w:rsid w:val="412E12E8"/>
    <w:rsid w:val="412E587D"/>
    <w:rsid w:val="41306BEE"/>
    <w:rsid w:val="4134674D"/>
    <w:rsid w:val="4134747D"/>
    <w:rsid w:val="41364C96"/>
    <w:rsid w:val="4137499F"/>
    <w:rsid w:val="413771F9"/>
    <w:rsid w:val="413A0B2D"/>
    <w:rsid w:val="413C1B0A"/>
    <w:rsid w:val="413C7E81"/>
    <w:rsid w:val="413D56C7"/>
    <w:rsid w:val="413E6153"/>
    <w:rsid w:val="414032D5"/>
    <w:rsid w:val="41416303"/>
    <w:rsid w:val="41466412"/>
    <w:rsid w:val="4147565A"/>
    <w:rsid w:val="4148639B"/>
    <w:rsid w:val="414A7FBB"/>
    <w:rsid w:val="414B1AB2"/>
    <w:rsid w:val="414D77A0"/>
    <w:rsid w:val="414E647E"/>
    <w:rsid w:val="414F18C3"/>
    <w:rsid w:val="414F3518"/>
    <w:rsid w:val="41536D40"/>
    <w:rsid w:val="41541044"/>
    <w:rsid w:val="415507C8"/>
    <w:rsid w:val="41550E61"/>
    <w:rsid w:val="41554571"/>
    <w:rsid w:val="41564DD6"/>
    <w:rsid w:val="415B41EC"/>
    <w:rsid w:val="415C17FD"/>
    <w:rsid w:val="415C7266"/>
    <w:rsid w:val="41645E52"/>
    <w:rsid w:val="41652D3C"/>
    <w:rsid w:val="41683556"/>
    <w:rsid w:val="41686388"/>
    <w:rsid w:val="41691C89"/>
    <w:rsid w:val="416C1FE0"/>
    <w:rsid w:val="416C35EE"/>
    <w:rsid w:val="416D7962"/>
    <w:rsid w:val="41701D6D"/>
    <w:rsid w:val="41701E3F"/>
    <w:rsid w:val="41715A29"/>
    <w:rsid w:val="41727207"/>
    <w:rsid w:val="417411D1"/>
    <w:rsid w:val="4176054B"/>
    <w:rsid w:val="41771029"/>
    <w:rsid w:val="417847B1"/>
    <w:rsid w:val="417B0A5A"/>
    <w:rsid w:val="417D7802"/>
    <w:rsid w:val="417E3A50"/>
    <w:rsid w:val="417E7512"/>
    <w:rsid w:val="417F58FC"/>
    <w:rsid w:val="41811988"/>
    <w:rsid w:val="4182569C"/>
    <w:rsid w:val="418A09F4"/>
    <w:rsid w:val="418A4F82"/>
    <w:rsid w:val="418B3654"/>
    <w:rsid w:val="418C5314"/>
    <w:rsid w:val="418D49FE"/>
    <w:rsid w:val="418E2292"/>
    <w:rsid w:val="41915EAD"/>
    <w:rsid w:val="4194508E"/>
    <w:rsid w:val="4194717D"/>
    <w:rsid w:val="4197756B"/>
    <w:rsid w:val="419B17C0"/>
    <w:rsid w:val="419C66A7"/>
    <w:rsid w:val="419D48F7"/>
    <w:rsid w:val="419E78BF"/>
    <w:rsid w:val="41A46354"/>
    <w:rsid w:val="41A475D7"/>
    <w:rsid w:val="41A5138A"/>
    <w:rsid w:val="41A5142D"/>
    <w:rsid w:val="41A76EB0"/>
    <w:rsid w:val="41A85994"/>
    <w:rsid w:val="41A970CC"/>
    <w:rsid w:val="41AC2719"/>
    <w:rsid w:val="41AE46E3"/>
    <w:rsid w:val="41AE6491"/>
    <w:rsid w:val="41AF2E17"/>
    <w:rsid w:val="41B16D91"/>
    <w:rsid w:val="41B3797C"/>
    <w:rsid w:val="41B62727"/>
    <w:rsid w:val="41B70FBA"/>
    <w:rsid w:val="41B736DA"/>
    <w:rsid w:val="41BB0BAE"/>
    <w:rsid w:val="41BB74B3"/>
    <w:rsid w:val="41BC063C"/>
    <w:rsid w:val="41BC26E9"/>
    <w:rsid w:val="41BD66D4"/>
    <w:rsid w:val="41C11D5C"/>
    <w:rsid w:val="41C21F3C"/>
    <w:rsid w:val="41C65AE2"/>
    <w:rsid w:val="41CE1354"/>
    <w:rsid w:val="41CF44D6"/>
    <w:rsid w:val="41D424FD"/>
    <w:rsid w:val="41D57EC1"/>
    <w:rsid w:val="41D71C87"/>
    <w:rsid w:val="41D852BC"/>
    <w:rsid w:val="41DC11A9"/>
    <w:rsid w:val="41DE0A1F"/>
    <w:rsid w:val="41DE61EF"/>
    <w:rsid w:val="41E076C6"/>
    <w:rsid w:val="41E0783A"/>
    <w:rsid w:val="41E22B45"/>
    <w:rsid w:val="41E33C60"/>
    <w:rsid w:val="41E43CA9"/>
    <w:rsid w:val="41E55C2A"/>
    <w:rsid w:val="41E719A3"/>
    <w:rsid w:val="41E72673"/>
    <w:rsid w:val="41E94FD5"/>
    <w:rsid w:val="41E96928"/>
    <w:rsid w:val="41EA4D83"/>
    <w:rsid w:val="41EC7507"/>
    <w:rsid w:val="41EE4ADF"/>
    <w:rsid w:val="41EF41AC"/>
    <w:rsid w:val="41F23385"/>
    <w:rsid w:val="41F25F69"/>
    <w:rsid w:val="41F5220A"/>
    <w:rsid w:val="41F64327"/>
    <w:rsid w:val="41F81C79"/>
    <w:rsid w:val="41FA25BC"/>
    <w:rsid w:val="41FE1996"/>
    <w:rsid w:val="4200449D"/>
    <w:rsid w:val="420049FD"/>
    <w:rsid w:val="42071F26"/>
    <w:rsid w:val="42096F4A"/>
    <w:rsid w:val="420A5259"/>
    <w:rsid w:val="420C45E6"/>
    <w:rsid w:val="420D553F"/>
    <w:rsid w:val="420E39AE"/>
    <w:rsid w:val="420E5181"/>
    <w:rsid w:val="420F2400"/>
    <w:rsid w:val="420F4A55"/>
    <w:rsid w:val="421206CF"/>
    <w:rsid w:val="42134546"/>
    <w:rsid w:val="421361E0"/>
    <w:rsid w:val="42162288"/>
    <w:rsid w:val="4216236B"/>
    <w:rsid w:val="421B1A49"/>
    <w:rsid w:val="421D23FA"/>
    <w:rsid w:val="42232027"/>
    <w:rsid w:val="42243C13"/>
    <w:rsid w:val="422449A5"/>
    <w:rsid w:val="422652E6"/>
    <w:rsid w:val="42274495"/>
    <w:rsid w:val="422938C0"/>
    <w:rsid w:val="422F6F51"/>
    <w:rsid w:val="42362A27"/>
    <w:rsid w:val="42382962"/>
    <w:rsid w:val="423A3BCC"/>
    <w:rsid w:val="423B1ACB"/>
    <w:rsid w:val="423B20A0"/>
    <w:rsid w:val="42410015"/>
    <w:rsid w:val="42412236"/>
    <w:rsid w:val="4243599A"/>
    <w:rsid w:val="42446DF5"/>
    <w:rsid w:val="42460F98"/>
    <w:rsid w:val="42465871"/>
    <w:rsid w:val="424A436D"/>
    <w:rsid w:val="424C6F46"/>
    <w:rsid w:val="424E1A22"/>
    <w:rsid w:val="424E57D2"/>
    <w:rsid w:val="42507548"/>
    <w:rsid w:val="42521512"/>
    <w:rsid w:val="425533B8"/>
    <w:rsid w:val="42554B5E"/>
    <w:rsid w:val="425863FC"/>
    <w:rsid w:val="4258725D"/>
    <w:rsid w:val="425F4EC2"/>
    <w:rsid w:val="42601DED"/>
    <w:rsid w:val="42627F6E"/>
    <w:rsid w:val="42641245"/>
    <w:rsid w:val="42641EA9"/>
    <w:rsid w:val="42647231"/>
    <w:rsid w:val="426765EE"/>
    <w:rsid w:val="426A1806"/>
    <w:rsid w:val="426B1D38"/>
    <w:rsid w:val="42703746"/>
    <w:rsid w:val="4271187D"/>
    <w:rsid w:val="427219D3"/>
    <w:rsid w:val="42731488"/>
    <w:rsid w:val="42764AD5"/>
    <w:rsid w:val="4278084D"/>
    <w:rsid w:val="427B61F2"/>
    <w:rsid w:val="427D180C"/>
    <w:rsid w:val="427D6BF1"/>
    <w:rsid w:val="42804B0D"/>
    <w:rsid w:val="42817701"/>
    <w:rsid w:val="42834542"/>
    <w:rsid w:val="4288664E"/>
    <w:rsid w:val="42894808"/>
    <w:rsid w:val="428A3F13"/>
    <w:rsid w:val="428A6EBB"/>
    <w:rsid w:val="42987088"/>
    <w:rsid w:val="42997141"/>
    <w:rsid w:val="429C278D"/>
    <w:rsid w:val="429F2276"/>
    <w:rsid w:val="42A22E5F"/>
    <w:rsid w:val="42A3393B"/>
    <w:rsid w:val="42A52BFC"/>
    <w:rsid w:val="42AE24C0"/>
    <w:rsid w:val="42AF18B1"/>
    <w:rsid w:val="42B049A7"/>
    <w:rsid w:val="42B26C49"/>
    <w:rsid w:val="42B74A68"/>
    <w:rsid w:val="42B775C7"/>
    <w:rsid w:val="42B82297"/>
    <w:rsid w:val="42C04C89"/>
    <w:rsid w:val="42C76BE2"/>
    <w:rsid w:val="42C85330"/>
    <w:rsid w:val="42D002B4"/>
    <w:rsid w:val="42D13D54"/>
    <w:rsid w:val="42D14004"/>
    <w:rsid w:val="42D31245"/>
    <w:rsid w:val="42D66736"/>
    <w:rsid w:val="42D9753D"/>
    <w:rsid w:val="42DA07A4"/>
    <w:rsid w:val="42DA3107"/>
    <w:rsid w:val="42DB1D8F"/>
    <w:rsid w:val="42DB6241"/>
    <w:rsid w:val="42DC297D"/>
    <w:rsid w:val="42DE0FF8"/>
    <w:rsid w:val="42DE4C95"/>
    <w:rsid w:val="42DF4949"/>
    <w:rsid w:val="42E14644"/>
    <w:rsid w:val="42E35892"/>
    <w:rsid w:val="42E83C24"/>
    <w:rsid w:val="42EA799C"/>
    <w:rsid w:val="42EC0423"/>
    <w:rsid w:val="42EC0CD6"/>
    <w:rsid w:val="42EC66D8"/>
    <w:rsid w:val="42ED4D97"/>
    <w:rsid w:val="42F326E5"/>
    <w:rsid w:val="42F425C9"/>
    <w:rsid w:val="42F606C0"/>
    <w:rsid w:val="42F71AE7"/>
    <w:rsid w:val="42FC76D0"/>
    <w:rsid w:val="43016A94"/>
    <w:rsid w:val="4303280C"/>
    <w:rsid w:val="43050754"/>
    <w:rsid w:val="43054763"/>
    <w:rsid w:val="43056584"/>
    <w:rsid w:val="43065002"/>
    <w:rsid w:val="430760D7"/>
    <w:rsid w:val="43097AB0"/>
    <w:rsid w:val="430C3285"/>
    <w:rsid w:val="430D368B"/>
    <w:rsid w:val="430D5536"/>
    <w:rsid w:val="430D71E7"/>
    <w:rsid w:val="43164C65"/>
    <w:rsid w:val="43167BF3"/>
    <w:rsid w:val="43172BF4"/>
    <w:rsid w:val="431A7B56"/>
    <w:rsid w:val="431B7A9D"/>
    <w:rsid w:val="431C0A83"/>
    <w:rsid w:val="431C1B20"/>
    <w:rsid w:val="431F30FF"/>
    <w:rsid w:val="431F6F1A"/>
    <w:rsid w:val="4322045B"/>
    <w:rsid w:val="432418E6"/>
    <w:rsid w:val="4326474D"/>
    <w:rsid w:val="43282273"/>
    <w:rsid w:val="4329203E"/>
    <w:rsid w:val="432956EA"/>
    <w:rsid w:val="43295C3D"/>
    <w:rsid w:val="432A5FEB"/>
    <w:rsid w:val="432B14FD"/>
    <w:rsid w:val="432D5ADB"/>
    <w:rsid w:val="432F3EFC"/>
    <w:rsid w:val="432F4DFF"/>
    <w:rsid w:val="433155B1"/>
    <w:rsid w:val="433A571B"/>
    <w:rsid w:val="433A6FE6"/>
    <w:rsid w:val="433A79DE"/>
    <w:rsid w:val="433B1FA6"/>
    <w:rsid w:val="433C187A"/>
    <w:rsid w:val="433C58E3"/>
    <w:rsid w:val="433E6F40"/>
    <w:rsid w:val="43407C16"/>
    <w:rsid w:val="4342478B"/>
    <w:rsid w:val="43424ECB"/>
    <w:rsid w:val="43432F79"/>
    <w:rsid w:val="434370AD"/>
    <w:rsid w:val="4346519D"/>
    <w:rsid w:val="43480868"/>
    <w:rsid w:val="434B3C0D"/>
    <w:rsid w:val="434C0A28"/>
    <w:rsid w:val="434E70E7"/>
    <w:rsid w:val="4350713C"/>
    <w:rsid w:val="435D2383"/>
    <w:rsid w:val="435D345F"/>
    <w:rsid w:val="436653E0"/>
    <w:rsid w:val="436A4639"/>
    <w:rsid w:val="436F7EA2"/>
    <w:rsid w:val="43740C8E"/>
    <w:rsid w:val="43762FDE"/>
    <w:rsid w:val="437836A2"/>
    <w:rsid w:val="43784FA8"/>
    <w:rsid w:val="437C2D76"/>
    <w:rsid w:val="43813731"/>
    <w:rsid w:val="438238DB"/>
    <w:rsid w:val="4383394D"/>
    <w:rsid w:val="438356FB"/>
    <w:rsid w:val="43837954"/>
    <w:rsid w:val="438751EB"/>
    <w:rsid w:val="4388237E"/>
    <w:rsid w:val="4389330F"/>
    <w:rsid w:val="438A7752"/>
    <w:rsid w:val="43911BC6"/>
    <w:rsid w:val="43916CC5"/>
    <w:rsid w:val="43930B2E"/>
    <w:rsid w:val="43937260"/>
    <w:rsid w:val="43940EC6"/>
    <w:rsid w:val="43954F68"/>
    <w:rsid w:val="43982531"/>
    <w:rsid w:val="439B2A45"/>
    <w:rsid w:val="43A01EBE"/>
    <w:rsid w:val="43A7746E"/>
    <w:rsid w:val="43A92A16"/>
    <w:rsid w:val="43AA3223"/>
    <w:rsid w:val="43AF64F0"/>
    <w:rsid w:val="43B14016"/>
    <w:rsid w:val="43B3046D"/>
    <w:rsid w:val="43B4164A"/>
    <w:rsid w:val="43B50341"/>
    <w:rsid w:val="43B62347"/>
    <w:rsid w:val="43B64843"/>
    <w:rsid w:val="43B67EE8"/>
    <w:rsid w:val="43B8113A"/>
    <w:rsid w:val="43B90147"/>
    <w:rsid w:val="43B97EAC"/>
    <w:rsid w:val="43BA5F4C"/>
    <w:rsid w:val="43BE016E"/>
    <w:rsid w:val="43C00B03"/>
    <w:rsid w:val="43C24475"/>
    <w:rsid w:val="43C4431A"/>
    <w:rsid w:val="43C4572A"/>
    <w:rsid w:val="43C71A8C"/>
    <w:rsid w:val="43C909BA"/>
    <w:rsid w:val="43CB2106"/>
    <w:rsid w:val="43CC2BFE"/>
    <w:rsid w:val="43D0793B"/>
    <w:rsid w:val="43D07B0F"/>
    <w:rsid w:val="43D13241"/>
    <w:rsid w:val="43D338BF"/>
    <w:rsid w:val="43D441A9"/>
    <w:rsid w:val="43D53C25"/>
    <w:rsid w:val="43D65BF9"/>
    <w:rsid w:val="43D9356D"/>
    <w:rsid w:val="43DE2931"/>
    <w:rsid w:val="43DE3770"/>
    <w:rsid w:val="43E3475B"/>
    <w:rsid w:val="43E412EA"/>
    <w:rsid w:val="43E556D8"/>
    <w:rsid w:val="43E77DB0"/>
    <w:rsid w:val="43E930BE"/>
    <w:rsid w:val="43EF2D90"/>
    <w:rsid w:val="43F13E21"/>
    <w:rsid w:val="43F2498B"/>
    <w:rsid w:val="43F33BED"/>
    <w:rsid w:val="43F63876"/>
    <w:rsid w:val="43F84E1A"/>
    <w:rsid w:val="43F87E97"/>
    <w:rsid w:val="43FA1F10"/>
    <w:rsid w:val="43FD2204"/>
    <w:rsid w:val="43FF3F0E"/>
    <w:rsid w:val="440365B3"/>
    <w:rsid w:val="44044A8E"/>
    <w:rsid w:val="44054362"/>
    <w:rsid w:val="44056624"/>
    <w:rsid w:val="440700DA"/>
    <w:rsid w:val="44070931"/>
    <w:rsid w:val="440721EB"/>
    <w:rsid w:val="440A4948"/>
    <w:rsid w:val="440B5E1C"/>
    <w:rsid w:val="440C34A9"/>
    <w:rsid w:val="440C56F0"/>
    <w:rsid w:val="440C5AB9"/>
    <w:rsid w:val="440D0713"/>
    <w:rsid w:val="440D19C7"/>
    <w:rsid w:val="440D6F60"/>
    <w:rsid w:val="440F6C10"/>
    <w:rsid w:val="44115A4E"/>
    <w:rsid w:val="44134E01"/>
    <w:rsid w:val="44184770"/>
    <w:rsid w:val="441D0861"/>
    <w:rsid w:val="441D5B50"/>
    <w:rsid w:val="441F1746"/>
    <w:rsid w:val="441F5635"/>
    <w:rsid w:val="44236E35"/>
    <w:rsid w:val="442517E5"/>
    <w:rsid w:val="442557B5"/>
    <w:rsid w:val="4426314F"/>
    <w:rsid w:val="44277AD1"/>
    <w:rsid w:val="44282DDB"/>
    <w:rsid w:val="44293CF3"/>
    <w:rsid w:val="442B1399"/>
    <w:rsid w:val="442C6681"/>
    <w:rsid w:val="442E5667"/>
    <w:rsid w:val="44301DDE"/>
    <w:rsid w:val="4431613A"/>
    <w:rsid w:val="4431765B"/>
    <w:rsid w:val="44323EF7"/>
    <w:rsid w:val="44345AB2"/>
    <w:rsid w:val="443531E8"/>
    <w:rsid w:val="443C2B2F"/>
    <w:rsid w:val="443F7636"/>
    <w:rsid w:val="4443104F"/>
    <w:rsid w:val="4443327B"/>
    <w:rsid w:val="44443C3A"/>
    <w:rsid w:val="44475507"/>
    <w:rsid w:val="444A0257"/>
    <w:rsid w:val="444A6219"/>
    <w:rsid w:val="444F2A3C"/>
    <w:rsid w:val="44557061"/>
    <w:rsid w:val="4455789A"/>
    <w:rsid w:val="445B0426"/>
    <w:rsid w:val="445B4D58"/>
    <w:rsid w:val="445D7CFA"/>
    <w:rsid w:val="445F1B04"/>
    <w:rsid w:val="44607A6E"/>
    <w:rsid w:val="44615A3C"/>
    <w:rsid w:val="446379C6"/>
    <w:rsid w:val="44653DF1"/>
    <w:rsid w:val="446622A8"/>
    <w:rsid w:val="44662AF3"/>
    <w:rsid w:val="44663053"/>
    <w:rsid w:val="44671829"/>
    <w:rsid w:val="446A440B"/>
    <w:rsid w:val="446C43E1"/>
    <w:rsid w:val="446C7E8C"/>
    <w:rsid w:val="446F2533"/>
    <w:rsid w:val="446F6338"/>
    <w:rsid w:val="447119F7"/>
    <w:rsid w:val="44725C33"/>
    <w:rsid w:val="44727C49"/>
    <w:rsid w:val="44740002"/>
    <w:rsid w:val="4474551E"/>
    <w:rsid w:val="447514E8"/>
    <w:rsid w:val="44763C49"/>
    <w:rsid w:val="447B752D"/>
    <w:rsid w:val="447D214A"/>
    <w:rsid w:val="447E6D8B"/>
    <w:rsid w:val="447E74DE"/>
    <w:rsid w:val="447F7AF1"/>
    <w:rsid w:val="44853963"/>
    <w:rsid w:val="44865643"/>
    <w:rsid w:val="4488246F"/>
    <w:rsid w:val="44890AEF"/>
    <w:rsid w:val="448B5125"/>
    <w:rsid w:val="448C7F30"/>
    <w:rsid w:val="448F1295"/>
    <w:rsid w:val="44906A07"/>
    <w:rsid w:val="449102C7"/>
    <w:rsid w:val="44913E48"/>
    <w:rsid w:val="44932709"/>
    <w:rsid w:val="44983FC9"/>
    <w:rsid w:val="449A127F"/>
    <w:rsid w:val="449D2760"/>
    <w:rsid w:val="449F0313"/>
    <w:rsid w:val="449F319F"/>
    <w:rsid w:val="44A20EE3"/>
    <w:rsid w:val="44A45929"/>
    <w:rsid w:val="44A64897"/>
    <w:rsid w:val="44A678F3"/>
    <w:rsid w:val="44A733D3"/>
    <w:rsid w:val="44A818BD"/>
    <w:rsid w:val="44A85B19"/>
    <w:rsid w:val="44AD0C81"/>
    <w:rsid w:val="44AD1AFC"/>
    <w:rsid w:val="44AE49FA"/>
    <w:rsid w:val="44B00772"/>
    <w:rsid w:val="44B10046"/>
    <w:rsid w:val="44B33DBE"/>
    <w:rsid w:val="44B65230"/>
    <w:rsid w:val="44B65905"/>
    <w:rsid w:val="44B74803"/>
    <w:rsid w:val="44B81331"/>
    <w:rsid w:val="44B951CC"/>
    <w:rsid w:val="44BE2E8F"/>
    <w:rsid w:val="44C17894"/>
    <w:rsid w:val="44C45FCB"/>
    <w:rsid w:val="44C50CE5"/>
    <w:rsid w:val="44C71617"/>
    <w:rsid w:val="44C85ABB"/>
    <w:rsid w:val="44C9538F"/>
    <w:rsid w:val="44CC519F"/>
    <w:rsid w:val="44CD1324"/>
    <w:rsid w:val="44CD14E0"/>
    <w:rsid w:val="44CE75C3"/>
    <w:rsid w:val="44D02CC9"/>
    <w:rsid w:val="44D206E8"/>
    <w:rsid w:val="44D37DB7"/>
    <w:rsid w:val="44D4251A"/>
    <w:rsid w:val="44D501D8"/>
    <w:rsid w:val="44D75BB3"/>
    <w:rsid w:val="44D97CC8"/>
    <w:rsid w:val="44DB059D"/>
    <w:rsid w:val="44DC61AE"/>
    <w:rsid w:val="44E14755"/>
    <w:rsid w:val="44E16C1A"/>
    <w:rsid w:val="44E24BED"/>
    <w:rsid w:val="44E47840"/>
    <w:rsid w:val="44E623E5"/>
    <w:rsid w:val="44E64193"/>
    <w:rsid w:val="44E678A3"/>
    <w:rsid w:val="44E87F0C"/>
    <w:rsid w:val="44E977E0"/>
    <w:rsid w:val="44EC107E"/>
    <w:rsid w:val="44EE4DF6"/>
    <w:rsid w:val="44EF0E6F"/>
    <w:rsid w:val="44F20B0B"/>
    <w:rsid w:val="44F62C61"/>
    <w:rsid w:val="44F704A4"/>
    <w:rsid w:val="44FE3AC6"/>
    <w:rsid w:val="44FF1365"/>
    <w:rsid w:val="44FF2277"/>
    <w:rsid w:val="45047FD8"/>
    <w:rsid w:val="45084358"/>
    <w:rsid w:val="45091B37"/>
    <w:rsid w:val="450D7972"/>
    <w:rsid w:val="450E06C5"/>
    <w:rsid w:val="450F2AE1"/>
    <w:rsid w:val="45126D36"/>
    <w:rsid w:val="451502B4"/>
    <w:rsid w:val="4517434D"/>
    <w:rsid w:val="45182381"/>
    <w:rsid w:val="45197003"/>
    <w:rsid w:val="451C2219"/>
    <w:rsid w:val="451D7A5F"/>
    <w:rsid w:val="45237196"/>
    <w:rsid w:val="45246A6A"/>
    <w:rsid w:val="45252531"/>
    <w:rsid w:val="452627E2"/>
    <w:rsid w:val="45272CD2"/>
    <w:rsid w:val="452E5F4C"/>
    <w:rsid w:val="452F5B3A"/>
    <w:rsid w:val="453018B3"/>
    <w:rsid w:val="45303661"/>
    <w:rsid w:val="45383EDD"/>
    <w:rsid w:val="45387E9E"/>
    <w:rsid w:val="453F3483"/>
    <w:rsid w:val="45403E92"/>
    <w:rsid w:val="45433394"/>
    <w:rsid w:val="454403E6"/>
    <w:rsid w:val="45441259"/>
    <w:rsid w:val="45454E32"/>
    <w:rsid w:val="454569B0"/>
    <w:rsid w:val="45463BF1"/>
    <w:rsid w:val="45474732"/>
    <w:rsid w:val="454769F5"/>
    <w:rsid w:val="45486BFC"/>
    <w:rsid w:val="454F568E"/>
    <w:rsid w:val="454F6DBF"/>
    <w:rsid w:val="45501AE5"/>
    <w:rsid w:val="45526901"/>
    <w:rsid w:val="45531DA7"/>
    <w:rsid w:val="45561319"/>
    <w:rsid w:val="455908D0"/>
    <w:rsid w:val="455B6133"/>
    <w:rsid w:val="455D2936"/>
    <w:rsid w:val="455E1F7C"/>
    <w:rsid w:val="455E3D2A"/>
    <w:rsid w:val="45612018"/>
    <w:rsid w:val="45617E68"/>
    <w:rsid w:val="45626712"/>
    <w:rsid w:val="456432B0"/>
    <w:rsid w:val="45660E30"/>
    <w:rsid w:val="45684BA8"/>
    <w:rsid w:val="456B4699"/>
    <w:rsid w:val="456D6663"/>
    <w:rsid w:val="45725A27"/>
    <w:rsid w:val="457309AF"/>
    <w:rsid w:val="45740993"/>
    <w:rsid w:val="4577128F"/>
    <w:rsid w:val="45781D51"/>
    <w:rsid w:val="457C0B60"/>
    <w:rsid w:val="457C4AF8"/>
    <w:rsid w:val="458319E2"/>
    <w:rsid w:val="458359EE"/>
    <w:rsid w:val="45874730"/>
    <w:rsid w:val="458825E1"/>
    <w:rsid w:val="458946E9"/>
    <w:rsid w:val="458B4B36"/>
    <w:rsid w:val="458E1F62"/>
    <w:rsid w:val="45912351"/>
    <w:rsid w:val="459373B7"/>
    <w:rsid w:val="459454CF"/>
    <w:rsid w:val="45970BBB"/>
    <w:rsid w:val="45997F0F"/>
    <w:rsid w:val="459A1949"/>
    <w:rsid w:val="459C2AA4"/>
    <w:rsid w:val="45A100BA"/>
    <w:rsid w:val="45A117BA"/>
    <w:rsid w:val="45A16904"/>
    <w:rsid w:val="45A31131"/>
    <w:rsid w:val="45A47C0E"/>
    <w:rsid w:val="45A858ED"/>
    <w:rsid w:val="45AA3413"/>
    <w:rsid w:val="45AC0F39"/>
    <w:rsid w:val="45AC718B"/>
    <w:rsid w:val="45AE3B27"/>
    <w:rsid w:val="45AE41B9"/>
    <w:rsid w:val="45B46040"/>
    <w:rsid w:val="45B7168C"/>
    <w:rsid w:val="45B7722C"/>
    <w:rsid w:val="45BB5620"/>
    <w:rsid w:val="45BC4EF4"/>
    <w:rsid w:val="45BD3146"/>
    <w:rsid w:val="45BD4D2A"/>
    <w:rsid w:val="45BE0C6C"/>
    <w:rsid w:val="45BE7BAF"/>
    <w:rsid w:val="45C2105D"/>
    <w:rsid w:val="45C35D88"/>
    <w:rsid w:val="45C67B21"/>
    <w:rsid w:val="45CA5F03"/>
    <w:rsid w:val="45CD7101"/>
    <w:rsid w:val="45D13816"/>
    <w:rsid w:val="45D3296A"/>
    <w:rsid w:val="45D56FFE"/>
    <w:rsid w:val="45D96A26"/>
    <w:rsid w:val="45DA1917"/>
    <w:rsid w:val="45E104E2"/>
    <w:rsid w:val="45E16709"/>
    <w:rsid w:val="45E24E51"/>
    <w:rsid w:val="45E95434"/>
    <w:rsid w:val="45EC51EB"/>
    <w:rsid w:val="45ED50AE"/>
    <w:rsid w:val="45EE1A60"/>
    <w:rsid w:val="45EE39D6"/>
    <w:rsid w:val="45EF5D17"/>
    <w:rsid w:val="45F045C8"/>
    <w:rsid w:val="45F244A8"/>
    <w:rsid w:val="45F24DA2"/>
    <w:rsid w:val="45F66658"/>
    <w:rsid w:val="45F679AF"/>
    <w:rsid w:val="45FB208E"/>
    <w:rsid w:val="45FB3C6E"/>
    <w:rsid w:val="46080139"/>
    <w:rsid w:val="4609638B"/>
    <w:rsid w:val="460A6723"/>
    <w:rsid w:val="460C5E7C"/>
    <w:rsid w:val="460D74FE"/>
    <w:rsid w:val="460F14C8"/>
    <w:rsid w:val="460F7D65"/>
    <w:rsid w:val="46115CF7"/>
    <w:rsid w:val="46116FEE"/>
    <w:rsid w:val="46131BF0"/>
    <w:rsid w:val="46144D30"/>
    <w:rsid w:val="46152F0A"/>
    <w:rsid w:val="46160AEE"/>
    <w:rsid w:val="4618153B"/>
    <w:rsid w:val="461A12BC"/>
    <w:rsid w:val="461D3BE5"/>
    <w:rsid w:val="46222FA9"/>
    <w:rsid w:val="462907DC"/>
    <w:rsid w:val="46297193"/>
    <w:rsid w:val="462D194E"/>
    <w:rsid w:val="462D6F86"/>
    <w:rsid w:val="462E5DF2"/>
    <w:rsid w:val="46327A81"/>
    <w:rsid w:val="46333E62"/>
    <w:rsid w:val="463351B6"/>
    <w:rsid w:val="46340F2E"/>
    <w:rsid w:val="46342CDD"/>
    <w:rsid w:val="463932D9"/>
    <w:rsid w:val="464309EB"/>
    <w:rsid w:val="46431172"/>
    <w:rsid w:val="4645313C"/>
    <w:rsid w:val="4647740F"/>
    <w:rsid w:val="46477D91"/>
    <w:rsid w:val="46496788"/>
    <w:rsid w:val="46497BA2"/>
    <w:rsid w:val="464C44CA"/>
    <w:rsid w:val="46535BAB"/>
    <w:rsid w:val="46565FB2"/>
    <w:rsid w:val="465667BD"/>
    <w:rsid w:val="46577542"/>
    <w:rsid w:val="46577FD6"/>
    <w:rsid w:val="46587D6C"/>
    <w:rsid w:val="465A7C97"/>
    <w:rsid w:val="46656786"/>
    <w:rsid w:val="46667546"/>
    <w:rsid w:val="4667335F"/>
    <w:rsid w:val="4669507C"/>
    <w:rsid w:val="466E4937"/>
    <w:rsid w:val="466F3B42"/>
    <w:rsid w:val="46700269"/>
    <w:rsid w:val="46716462"/>
    <w:rsid w:val="46721DBE"/>
    <w:rsid w:val="46752F72"/>
    <w:rsid w:val="4678381C"/>
    <w:rsid w:val="4678686A"/>
    <w:rsid w:val="467A541D"/>
    <w:rsid w:val="467B6B5D"/>
    <w:rsid w:val="467D5923"/>
    <w:rsid w:val="467D7EF9"/>
    <w:rsid w:val="467F03FC"/>
    <w:rsid w:val="46842527"/>
    <w:rsid w:val="46853538"/>
    <w:rsid w:val="46887236"/>
    <w:rsid w:val="4689127A"/>
    <w:rsid w:val="468B63F0"/>
    <w:rsid w:val="468C166E"/>
    <w:rsid w:val="468E4AE3"/>
    <w:rsid w:val="4690085B"/>
    <w:rsid w:val="469076B4"/>
    <w:rsid w:val="46934525"/>
    <w:rsid w:val="46934FC7"/>
    <w:rsid w:val="469519CD"/>
    <w:rsid w:val="469A0266"/>
    <w:rsid w:val="469D2991"/>
    <w:rsid w:val="46A11F64"/>
    <w:rsid w:val="46A3145E"/>
    <w:rsid w:val="46A348ED"/>
    <w:rsid w:val="46A6631C"/>
    <w:rsid w:val="46A7607D"/>
    <w:rsid w:val="46A77952"/>
    <w:rsid w:val="46AA03DF"/>
    <w:rsid w:val="46AA3C5A"/>
    <w:rsid w:val="46AD66B5"/>
    <w:rsid w:val="46B062C8"/>
    <w:rsid w:val="46B1257F"/>
    <w:rsid w:val="46B651A1"/>
    <w:rsid w:val="46B72545"/>
    <w:rsid w:val="46B729F9"/>
    <w:rsid w:val="46B750D2"/>
    <w:rsid w:val="46B917DD"/>
    <w:rsid w:val="46B97E0B"/>
    <w:rsid w:val="46BA10D9"/>
    <w:rsid w:val="46BB51AC"/>
    <w:rsid w:val="46BF6A4A"/>
    <w:rsid w:val="46C02F48"/>
    <w:rsid w:val="46C13B85"/>
    <w:rsid w:val="46C16C66"/>
    <w:rsid w:val="46C20FBE"/>
    <w:rsid w:val="46C216AF"/>
    <w:rsid w:val="46C338E3"/>
    <w:rsid w:val="46C422B2"/>
    <w:rsid w:val="46C673C4"/>
    <w:rsid w:val="46C7706B"/>
    <w:rsid w:val="46CD7CEB"/>
    <w:rsid w:val="46CE3131"/>
    <w:rsid w:val="46CE4EDF"/>
    <w:rsid w:val="46D1607D"/>
    <w:rsid w:val="46D3211E"/>
    <w:rsid w:val="46D544C0"/>
    <w:rsid w:val="46D955A7"/>
    <w:rsid w:val="46DB37E7"/>
    <w:rsid w:val="46DC4488"/>
    <w:rsid w:val="46DC584E"/>
    <w:rsid w:val="46DD15C6"/>
    <w:rsid w:val="46DE082B"/>
    <w:rsid w:val="46DE1471"/>
    <w:rsid w:val="46E110B6"/>
    <w:rsid w:val="46E502F2"/>
    <w:rsid w:val="46E65EAB"/>
    <w:rsid w:val="46E837D1"/>
    <w:rsid w:val="46EF31EB"/>
    <w:rsid w:val="46F25071"/>
    <w:rsid w:val="46F30DEA"/>
    <w:rsid w:val="46F32177"/>
    <w:rsid w:val="46F50754"/>
    <w:rsid w:val="46F50DDA"/>
    <w:rsid w:val="46F6046C"/>
    <w:rsid w:val="46F648FA"/>
    <w:rsid w:val="46FA0F03"/>
    <w:rsid w:val="46FE2F8D"/>
    <w:rsid w:val="47013507"/>
    <w:rsid w:val="47015DDC"/>
    <w:rsid w:val="47067AC2"/>
    <w:rsid w:val="47084895"/>
    <w:rsid w:val="47095F17"/>
    <w:rsid w:val="470A42B8"/>
    <w:rsid w:val="471077E9"/>
    <w:rsid w:val="47133957"/>
    <w:rsid w:val="47136323"/>
    <w:rsid w:val="47156E90"/>
    <w:rsid w:val="471C3E9C"/>
    <w:rsid w:val="471D3888"/>
    <w:rsid w:val="471F7548"/>
    <w:rsid w:val="47226082"/>
    <w:rsid w:val="47230FBD"/>
    <w:rsid w:val="47264F1F"/>
    <w:rsid w:val="47270602"/>
    <w:rsid w:val="47271CBA"/>
    <w:rsid w:val="472D3649"/>
    <w:rsid w:val="472F38FB"/>
    <w:rsid w:val="473311E6"/>
    <w:rsid w:val="47332F94"/>
    <w:rsid w:val="47347438"/>
    <w:rsid w:val="473766A9"/>
    <w:rsid w:val="473777C4"/>
    <w:rsid w:val="47385919"/>
    <w:rsid w:val="47394A4E"/>
    <w:rsid w:val="473A2575"/>
    <w:rsid w:val="473A4660"/>
    <w:rsid w:val="473E1636"/>
    <w:rsid w:val="473F5DDD"/>
    <w:rsid w:val="47416EC4"/>
    <w:rsid w:val="474451A1"/>
    <w:rsid w:val="47447C1B"/>
    <w:rsid w:val="4745157B"/>
    <w:rsid w:val="47484C91"/>
    <w:rsid w:val="4748750F"/>
    <w:rsid w:val="474C739E"/>
    <w:rsid w:val="474F4C04"/>
    <w:rsid w:val="47542A45"/>
    <w:rsid w:val="47574ED5"/>
    <w:rsid w:val="47590C4D"/>
    <w:rsid w:val="47593CC5"/>
    <w:rsid w:val="475A0665"/>
    <w:rsid w:val="475D572B"/>
    <w:rsid w:val="475F4FCF"/>
    <w:rsid w:val="476335F3"/>
    <w:rsid w:val="476475F1"/>
    <w:rsid w:val="476A10AC"/>
    <w:rsid w:val="476D07C1"/>
    <w:rsid w:val="476F0470"/>
    <w:rsid w:val="47727F60"/>
    <w:rsid w:val="4774202F"/>
    <w:rsid w:val="477608AD"/>
    <w:rsid w:val="47775577"/>
    <w:rsid w:val="477912EF"/>
    <w:rsid w:val="477932D0"/>
    <w:rsid w:val="477E3AD0"/>
    <w:rsid w:val="478657BA"/>
    <w:rsid w:val="478B4B7E"/>
    <w:rsid w:val="478B4C9C"/>
    <w:rsid w:val="478F569D"/>
    <w:rsid w:val="47904CBE"/>
    <w:rsid w:val="479361EC"/>
    <w:rsid w:val="47961EA1"/>
    <w:rsid w:val="4796765D"/>
    <w:rsid w:val="4797355E"/>
    <w:rsid w:val="479C736D"/>
    <w:rsid w:val="479E1849"/>
    <w:rsid w:val="479E6FA7"/>
    <w:rsid w:val="479F062A"/>
    <w:rsid w:val="47A01DA1"/>
    <w:rsid w:val="47A07E0C"/>
    <w:rsid w:val="47A31657"/>
    <w:rsid w:val="47A345BE"/>
    <w:rsid w:val="47A3636C"/>
    <w:rsid w:val="47A47F09"/>
    <w:rsid w:val="47A65CC0"/>
    <w:rsid w:val="47AA594C"/>
    <w:rsid w:val="47AB6C3D"/>
    <w:rsid w:val="47AC3A92"/>
    <w:rsid w:val="47AF6ABF"/>
    <w:rsid w:val="47B503DA"/>
    <w:rsid w:val="47BA3D2B"/>
    <w:rsid w:val="47BF2E07"/>
    <w:rsid w:val="47BF45D4"/>
    <w:rsid w:val="47C212B2"/>
    <w:rsid w:val="47C24D3C"/>
    <w:rsid w:val="47C307BC"/>
    <w:rsid w:val="47C3256A"/>
    <w:rsid w:val="47C5171F"/>
    <w:rsid w:val="47C94BE7"/>
    <w:rsid w:val="47C979DB"/>
    <w:rsid w:val="47CE3D36"/>
    <w:rsid w:val="47CF40C9"/>
    <w:rsid w:val="47D12478"/>
    <w:rsid w:val="47D30BC8"/>
    <w:rsid w:val="47D6229D"/>
    <w:rsid w:val="47D77DC3"/>
    <w:rsid w:val="47D961C8"/>
    <w:rsid w:val="47DA7968"/>
    <w:rsid w:val="47DC3AFC"/>
    <w:rsid w:val="47DC75E2"/>
    <w:rsid w:val="47E645C7"/>
    <w:rsid w:val="47E94A0D"/>
    <w:rsid w:val="47EB5315"/>
    <w:rsid w:val="47EC0194"/>
    <w:rsid w:val="47EC3392"/>
    <w:rsid w:val="47EF2039"/>
    <w:rsid w:val="47F12A75"/>
    <w:rsid w:val="47F225A9"/>
    <w:rsid w:val="47F37996"/>
    <w:rsid w:val="47F551D9"/>
    <w:rsid w:val="47F9746B"/>
    <w:rsid w:val="47FB1A1B"/>
    <w:rsid w:val="47FB3D57"/>
    <w:rsid w:val="47FC782A"/>
    <w:rsid w:val="47FE4438"/>
    <w:rsid w:val="4800556C"/>
    <w:rsid w:val="48012D7E"/>
    <w:rsid w:val="48014387"/>
    <w:rsid w:val="4803505C"/>
    <w:rsid w:val="48052B82"/>
    <w:rsid w:val="480800BA"/>
    <w:rsid w:val="48085415"/>
    <w:rsid w:val="480916A9"/>
    <w:rsid w:val="480A0199"/>
    <w:rsid w:val="480A522B"/>
    <w:rsid w:val="480B5A37"/>
    <w:rsid w:val="480E2235"/>
    <w:rsid w:val="480E23EA"/>
    <w:rsid w:val="4812401E"/>
    <w:rsid w:val="48132032"/>
    <w:rsid w:val="4814553E"/>
    <w:rsid w:val="48154A84"/>
    <w:rsid w:val="481728B6"/>
    <w:rsid w:val="4818735B"/>
    <w:rsid w:val="481A7E97"/>
    <w:rsid w:val="481B77B6"/>
    <w:rsid w:val="481D629F"/>
    <w:rsid w:val="481D7AA3"/>
    <w:rsid w:val="481F1582"/>
    <w:rsid w:val="481F32C4"/>
    <w:rsid w:val="482640F1"/>
    <w:rsid w:val="482778B6"/>
    <w:rsid w:val="482921E4"/>
    <w:rsid w:val="48295737"/>
    <w:rsid w:val="48333380"/>
    <w:rsid w:val="48345216"/>
    <w:rsid w:val="48371705"/>
    <w:rsid w:val="4839282C"/>
    <w:rsid w:val="48393ED6"/>
    <w:rsid w:val="483A26D1"/>
    <w:rsid w:val="483A538C"/>
    <w:rsid w:val="483D4C12"/>
    <w:rsid w:val="48401E0D"/>
    <w:rsid w:val="4843085C"/>
    <w:rsid w:val="484339FC"/>
    <w:rsid w:val="48446A36"/>
    <w:rsid w:val="48486D87"/>
    <w:rsid w:val="484A2C8B"/>
    <w:rsid w:val="484E4529"/>
    <w:rsid w:val="4853307B"/>
    <w:rsid w:val="485411E2"/>
    <w:rsid w:val="485458B8"/>
    <w:rsid w:val="48567212"/>
    <w:rsid w:val="48581111"/>
    <w:rsid w:val="48592ECE"/>
    <w:rsid w:val="485B27A2"/>
    <w:rsid w:val="485B291A"/>
    <w:rsid w:val="485D0DD3"/>
    <w:rsid w:val="485D476D"/>
    <w:rsid w:val="485E04E5"/>
    <w:rsid w:val="486024AF"/>
    <w:rsid w:val="48617876"/>
    <w:rsid w:val="48621D83"/>
    <w:rsid w:val="48641A97"/>
    <w:rsid w:val="486457A8"/>
    <w:rsid w:val="4866603F"/>
    <w:rsid w:val="4867383D"/>
    <w:rsid w:val="486D0AE8"/>
    <w:rsid w:val="486D68BC"/>
    <w:rsid w:val="4870272E"/>
    <w:rsid w:val="48710016"/>
    <w:rsid w:val="48710218"/>
    <w:rsid w:val="4872180F"/>
    <w:rsid w:val="487321E2"/>
    <w:rsid w:val="4874411F"/>
    <w:rsid w:val="487614AE"/>
    <w:rsid w:val="487669D5"/>
    <w:rsid w:val="487C41DD"/>
    <w:rsid w:val="487E4978"/>
    <w:rsid w:val="48805D9E"/>
    <w:rsid w:val="48823041"/>
    <w:rsid w:val="48836806"/>
    <w:rsid w:val="488616EE"/>
    <w:rsid w:val="48872F40"/>
    <w:rsid w:val="48931F3C"/>
    <w:rsid w:val="48961A2D"/>
    <w:rsid w:val="4897712B"/>
    <w:rsid w:val="489D2DBB"/>
    <w:rsid w:val="48A14FFC"/>
    <w:rsid w:val="48A33BFE"/>
    <w:rsid w:val="48A44BED"/>
    <w:rsid w:val="48A5216D"/>
    <w:rsid w:val="48A62347"/>
    <w:rsid w:val="48A6246D"/>
    <w:rsid w:val="48A759E8"/>
    <w:rsid w:val="48A86F5C"/>
    <w:rsid w:val="48AB6FFA"/>
    <w:rsid w:val="48AE0586"/>
    <w:rsid w:val="48B02C1A"/>
    <w:rsid w:val="48B10158"/>
    <w:rsid w:val="48B16866"/>
    <w:rsid w:val="48B3157B"/>
    <w:rsid w:val="48B55BED"/>
    <w:rsid w:val="48B61B79"/>
    <w:rsid w:val="48BA1BBF"/>
    <w:rsid w:val="48BE07C2"/>
    <w:rsid w:val="48C146FF"/>
    <w:rsid w:val="48C2215A"/>
    <w:rsid w:val="48C24888"/>
    <w:rsid w:val="48C2547F"/>
    <w:rsid w:val="48C70B72"/>
    <w:rsid w:val="48CB5B7A"/>
    <w:rsid w:val="48CB5C2C"/>
    <w:rsid w:val="48CE7418"/>
    <w:rsid w:val="48D06054"/>
    <w:rsid w:val="48D14E32"/>
    <w:rsid w:val="48D40B72"/>
    <w:rsid w:val="48D569F9"/>
    <w:rsid w:val="48D72771"/>
    <w:rsid w:val="48D73884"/>
    <w:rsid w:val="48D80297"/>
    <w:rsid w:val="48D807BC"/>
    <w:rsid w:val="48DA5DBD"/>
    <w:rsid w:val="48DB7917"/>
    <w:rsid w:val="48DD4C7D"/>
    <w:rsid w:val="48E24C72"/>
    <w:rsid w:val="48E403B9"/>
    <w:rsid w:val="48E61B45"/>
    <w:rsid w:val="48E649FA"/>
    <w:rsid w:val="48E91A86"/>
    <w:rsid w:val="48EA78BD"/>
    <w:rsid w:val="48EB2406"/>
    <w:rsid w:val="48EC3D42"/>
    <w:rsid w:val="48ED268A"/>
    <w:rsid w:val="48EE456A"/>
    <w:rsid w:val="48F4028A"/>
    <w:rsid w:val="48F873E3"/>
    <w:rsid w:val="48F931C7"/>
    <w:rsid w:val="48FC6A5F"/>
    <w:rsid w:val="48FD5F50"/>
    <w:rsid w:val="4900334A"/>
    <w:rsid w:val="49021329"/>
    <w:rsid w:val="490270C2"/>
    <w:rsid w:val="49042C8A"/>
    <w:rsid w:val="49042E3A"/>
    <w:rsid w:val="490474B0"/>
    <w:rsid w:val="4905552E"/>
    <w:rsid w:val="49065575"/>
    <w:rsid w:val="49093447"/>
    <w:rsid w:val="490948F4"/>
    <w:rsid w:val="490B614C"/>
    <w:rsid w:val="490E300D"/>
    <w:rsid w:val="491021A2"/>
    <w:rsid w:val="4913215F"/>
    <w:rsid w:val="491325C4"/>
    <w:rsid w:val="49134D90"/>
    <w:rsid w:val="4913561C"/>
    <w:rsid w:val="491562C9"/>
    <w:rsid w:val="4916011B"/>
    <w:rsid w:val="49184B37"/>
    <w:rsid w:val="49185C54"/>
    <w:rsid w:val="491B459B"/>
    <w:rsid w:val="492139EC"/>
    <w:rsid w:val="49220E6B"/>
    <w:rsid w:val="492727F6"/>
    <w:rsid w:val="49276B29"/>
    <w:rsid w:val="4929464F"/>
    <w:rsid w:val="492A532F"/>
    <w:rsid w:val="492B6619"/>
    <w:rsid w:val="492E1E97"/>
    <w:rsid w:val="49317B35"/>
    <w:rsid w:val="49325BF9"/>
    <w:rsid w:val="493279A7"/>
    <w:rsid w:val="493354CD"/>
    <w:rsid w:val="4935673A"/>
    <w:rsid w:val="49357308"/>
    <w:rsid w:val="493662F4"/>
    <w:rsid w:val="49366D6C"/>
    <w:rsid w:val="49375D5A"/>
    <w:rsid w:val="4938796D"/>
    <w:rsid w:val="49391A9B"/>
    <w:rsid w:val="493A0914"/>
    <w:rsid w:val="493C6A78"/>
    <w:rsid w:val="493C6FCE"/>
    <w:rsid w:val="4941462D"/>
    <w:rsid w:val="494600D2"/>
    <w:rsid w:val="494616A5"/>
    <w:rsid w:val="494757B4"/>
    <w:rsid w:val="494917F9"/>
    <w:rsid w:val="494A3D0C"/>
    <w:rsid w:val="494D658F"/>
    <w:rsid w:val="494F67AB"/>
    <w:rsid w:val="495A0CAC"/>
    <w:rsid w:val="495D2CB7"/>
    <w:rsid w:val="496164DE"/>
    <w:rsid w:val="49627DEF"/>
    <w:rsid w:val="496438D9"/>
    <w:rsid w:val="496640E6"/>
    <w:rsid w:val="49695393"/>
    <w:rsid w:val="496B110B"/>
    <w:rsid w:val="496E6505"/>
    <w:rsid w:val="49706E5A"/>
    <w:rsid w:val="49716FD4"/>
    <w:rsid w:val="497302E3"/>
    <w:rsid w:val="497522CF"/>
    <w:rsid w:val="49752C0D"/>
    <w:rsid w:val="49753D38"/>
    <w:rsid w:val="49773A63"/>
    <w:rsid w:val="49787ACA"/>
    <w:rsid w:val="497A30FC"/>
    <w:rsid w:val="497B6774"/>
    <w:rsid w:val="497C6E74"/>
    <w:rsid w:val="497C7E57"/>
    <w:rsid w:val="49817114"/>
    <w:rsid w:val="4984272F"/>
    <w:rsid w:val="49843AC0"/>
    <w:rsid w:val="49843F7B"/>
    <w:rsid w:val="498518BC"/>
    <w:rsid w:val="498521CD"/>
    <w:rsid w:val="49861CFA"/>
    <w:rsid w:val="49872451"/>
    <w:rsid w:val="498875C7"/>
    <w:rsid w:val="49891591"/>
    <w:rsid w:val="498B2DA7"/>
    <w:rsid w:val="498D2E30"/>
    <w:rsid w:val="499426AC"/>
    <w:rsid w:val="49950C2D"/>
    <w:rsid w:val="49987070"/>
    <w:rsid w:val="4999217F"/>
    <w:rsid w:val="49995C78"/>
    <w:rsid w:val="499A554C"/>
    <w:rsid w:val="499C44F1"/>
    <w:rsid w:val="499D562B"/>
    <w:rsid w:val="49A33016"/>
    <w:rsid w:val="49A64297"/>
    <w:rsid w:val="49A66B2F"/>
    <w:rsid w:val="49AF724A"/>
    <w:rsid w:val="49B04D70"/>
    <w:rsid w:val="49B20434"/>
    <w:rsid w:val="49B22896"/>
    <w:rsid w:val="49B67C80"/>
    <w:rsid w:val="49B900C8"/>
    <w:rsid w:val="49B91239"/>
    <w:rsid w:val="49BA174B"/>
    <w:rsid w:val="49BC6CA3"/>
    <w:rsid w:val="49BF3E9A"/>
    <w:rsid w:val="49C02BDE"/>
    <w:rsid w:val="49C40092"/>
    <w:rsid w:val="49C60C33"/>
    <w:rsid w:val="49C6119C"/>
    <w:rsid w:val="49C81B28"/>
    <w:rsid w:val="49C820F1"/>
    <w:rsid w:val="49CA5E32"/>
    <w:rsid w:val="49CC2EDA"/>
    <w:rsid w:val="49CC649E"/>
    <w:rsid w:val="49CD4E00"/>
    <w:rsid w:val="49D2118A"/>
    <w:rsid w:val="49D372CF"/>
    <w:rsid w:val="49D56A95"/>
    <w:rsid w:val="49D76F4B"/>
    <w:rsid w:val="49D80C0E"/>
    <w:rsid w:val="49D92519"/>
    <w:rsid w:val="49DB1DED"/>
    <w:rsid w:val="49DC7715"/>
    <w:rsid w:val="49DE7F41"/>
    <w:rsid w:val="49E25671"/>
    <w:rsid w:val="49E35145"/>
    <w:rsid w:val="49E64F6E"/>
    <w:rsid w:val="49E76C62"/>
    <w:rsid w:val="49EB1B44"/>
    <w:rsid w:val="49EC4263"/>
    <w:rsid w:val="49F033BE"/>
    <w:rsid w:val="49F03638"/>
    <w:rsid w:val="49F36575"/>
    <w:rsid w:val="49F87E8F"/>
    <w:rsid w:val="49FB423D"/>
    <w:rsid w:val="49FB51B0"/>
    <w:rsid w:val="4A020648"/>
    <w:rsid w:val="4A023139"/>
    <w:rsid w:val="4A037596"/>
    <w:rsid w:val="4A041156"/>
    <w:rsid w:val="4A05620C"/>
    <w:rsid w:val="4A0B01F8"/>
    <w:rsid w:val="4A0C644A"/>
    <w:rsid w:val="4A0D3931"/>
    <w:rsid w:val="4A0E29D3"/>
    <w:rsid w:val="4A0F5F3A"/>
    <w:rsid w:val="4A111D08"/>
    <w:rsid w:val="4A11580F"/>
    <w:rsid w:val="4A133E90"/>
    <w:rsid w:val="4A174DEF"/>
    <w:rsid w:val="4A1A7AE1"/>
    <w:rsid w:val="4A1B77A6"/>
    <w:rsid w:val="4A1E1F4D"/>
    <w:rsid w:val="4A203CA4"/>
    <w:rsid w:val="4A25640D"/>
    <w:rsid w:val="4A25750C"/>
    <w:rsid w:val="4A2A4B22"/>
    <w:rsid w:val="4A2A68D0"/>
    <w:rsid w:val="4A312D2C"/>
    <w:rsid w:val="4A314306"/>
    <w:rsid w:val="4A362F02"/>
    <w:rsid w:val="4A374FBD"/>
    <w:rsid w:val="4A392FB7"/>
    <w:rsid w:val="4A3A1E1D"/>
    <w:rsid w:val="4A3B08FC"/>
    <w:rsid w:val="4A3D741D"/>
    <w:rsid w:val="4A3E340E"/>
    <w:rsid w:val="4A413C1A"/>
    <w:rsid w:val="4A437D64"/>
    <w:rsid w:val="4A462336"/>
    <w:rsid w:val="4A477482"/>
    <w:rsid w:val="4A484FA8"/>
    <w:rsid w:val="4A4A50E5"/>
    <w:rsid w:val="4A4C3A99"/>
    <w:rsid w:val="4A4F4589"/>
    <w:rsid w:val="4A517696"/>
    <w:rsid w:val="4A554446"/>
    <w:rsid w:val="4A565C48"/>
    <w:rsid w:val="4A5A7F47"/>
    <w:rsid w:val="4A5B021C"/>
    <w:rsid w:val="4A5E47CC"/>
    <w:rsid w:val="4A5F1C07"/>
    <w:rsid w:val="4A600544"/>
    <w:rsid w:val="4A6159F1"/>
    <w:rsid w:val="4A6211C1"/>
    <w:rsid w:val="4A653DAC"/>
    <w:rsid w:val="4A6A34DC"/>
    <w:rsid w:val="4A6B45A9"/>
    <w:rsid w:val="4A6F1204"/>
    <w:rsid w:val="4A701295"/>
    <w:rsid w:val="4A7121C3"/>
    <w:rsid w:val="4A733689"/>
    <w:rsid w:val="4A742911"/>
    <w:rsid w:val="4A753CFB"/>
    <w:rsid w:val="4A792A9A"/>
    <w:rsid w:val="4A7B3E84"/>
    <w:rsid w:val="4A7B576F"/>
    <w:rsid w:val="4A7E11B4"/>
    <w:rsid w:val="4A804742"/>
    <w:rsid w:val="4A823CB2"/>
    <w:rsid w:val="4A89776C"/>
    <w:rsid w:val="4A897A9B"/>
    <w:rsid w:val="4A8A55C1"/>
    <w:rsid w:val="4A8A736F"/>
    <w:rsid w:val="4A8B6A1B"/>
    <w:rsid w:val="4A8E0363"/>
    <w:rsid w:val="4A8E0B63"/>
    <w:rsid w:val="4A8E6E5F"/>
    <w:rsid w:val="4A905977"/>
    <w:rsid w:val="4A934B56"/>
    <w:rsid w:val="4A945A5D"/>
    <w:rsid w:val="4A98093F"/>
    <w:rsid w:val="4A9B332A"/>
    <w:rsid w:val="4A9D1B90"/>
    <w:rsid w:val="4AA323BA"/>
    <w:rsid w:val="4AA35A82"/>
    <w:rsid w:val="4AA74987"/>
    <w:rsid w:val="4AAD7367"/>
    <w:rsid w:val="4AAE702D"/>
    <w:rsid w:val="4AB32D6A"/>
    <w:rsid w:val="4AB56AE2"/>
    <w:rsid w:val="4ABA1CB8"/>
    <w:rsid w:val="4ABA4045"/>
    <w:rsid w:val="4ABA6CDD"/>
    <w:rsid w:val="4ABD2CED"/>
    <w:rsid w:val="4ABF0BEE"/>
    <w:rsid w:val="4ABF170F"/>
    <w:rsid w:val="4ABF34BD"/>
    <w:rsid w:val="4AC33EE4"/>
    <w:rsid w:val="4AC42881"/>
    <w:rsid w:val="4AC44F0B"/>
    <w:rsid w:val="4AC47B2D"/>
    <w:rsid w:val="4AC80757"/>
    <w:rsid w:val="4AC92217"/>
    <w:rsid w:val="4ACB5579"/>
    <w:rsid w:val="4ACB5F82"/>
    <w:rsid w:val="4ACB61B4"/>
    <w:rsid w:val="4ACE3F5A"/>
    <w:rsid w:val="4AD453C0"/>
    <w:rsid w:val="4AD577BC"/>
    <w:rsid w:val="4AD8457E"/>
    <w:rsid w:val="4AD96F53"/>
    <w:rsid w:val="4ADD2A93"/>
    <w:rsid w:val="4ADE528E"/>
    <w:rsid w:val="4ADF2964"/>
    <w:rsid w:val="4ADF76BB"/>
    <w:rsid w:val="4AE2685E"/>
    <w:rsid w:val="4AE61C97"/>
    <w:rsid w:val="4AE80AD1"/>
    <w:rsid w:val="4AE90539"/>
    <w:rsid w:val="4AE94BF0"/>
    <w:rsid w:val="4AEE3508"/>
    <w:rsid w:val="4AF35157"/>
    <w:rsid w:val="4AF561A9"/>
    <w:rsid w:val="4AF85AF7"/>
    <w:rsid w:val="4AFA5E69"/>
    <w:rsid w:val="4AFD3FE5"/>
    <w:rsid w:val="4AFD46D7"/>
    <w:rsid w:val="4AFD4D80"/>
    <w:rsid w:val="4AFD5873"/>
    <w:rsid w:val="4AFF1B0B"/>
    <w:rsid w:val="4B046389"/>
    <w:rsid w:val="4B073439"/>
    <w:rsid w:val="4B074E64"/>
    <w:rsid w:val="4B075401"/>
    <w:rsid w:val="4B077D28"/>
    <w:rsid w:val="4B095E5A"/>
    <w:rsid w:val="4B13689F"/>
    <w:rsid w:val="4B15132F"/>
    <w:rsid w:val="4B1650A7"/>
    <w:rsid w:val="4B173178"/>
    <w:rsid w:val="4B1A0735"/>
    <w:rsid w:val="4B1D1987"/>
    <w:rsid w:val="4B1E0141"/>
    <w:rsid w:val="4B201A81"/>
    <w:rsid w:val="4B204665"/>
    <w:rsid w:val="4B210482"/>
    <w:rsid w:val="4B215F25"/>
    <w:rsid w:val="4B242FED"/>
    <w:rsid w:val="4B2B69A9"/>
    <w:rsid w:val="4B2B7C46"/>
    <w:rsid w:val="4B2E23F0"/>
    <w:rsid w:val="4B311D9C"/>
    <w:rsid w:val="4B321EE0"/>
    <w:rsid w:val="4B3536BE"/>
    <w:rsid w:val="4B35552D"/>
    <w:rsid w:val="4B360142"/>
    <w:rsid w:val="4B375749"/>
    <w:rsid w:val="4B38326F"/>
    <w:rsid w:val="4B393398"/>
    <w:rsid w:val="4B3A58DC"/>
    <w:rsid w:val="4B3A59B2"/>
    <w:rsid w:val="4B413517"/>
    <w:rsid w:val="4B413ED2"/>
    <w:rsid w:val="4B430110"/>
    <w:rsid w:val="4B46598C"/>
    <w:rsid w:val="4B486793"/>
    <w:rsid w:val="4B4B2FA2"/>
    <w:rsid w:val="4B4B7A4B"/>
    <w:rsid w:val="4B502367"/>
    <w:rsid w:val="4B5160DF"/>
    <w:rsid w:val="4B537B27"/>
    <w:rsid w:val="4B56698F"/>
    <w:rsid w:val="4B58121B"/>
    <w:rsid w:val="4B581852"/>
    <w:rsid w:val="4B5D4219"/>
    <w:rsid w:val="4B5D4A84"/>
    <w:rsid w:val="4B5D7301"/>
    <w:rsid w:val="4B5F5FB3"/>
    <w:rsid w:val="4B6068CD"/>
    <w:rsid w:val="4B610EF6"/>
    <w:rsid w:val="4B656E7E"/>
    <w:rsid w:val="4B685902"/>
    <w:rsid w:val="4B69167A"/>
    <w:rsid w:val="4B6B2D4E"/>
    <w:rsid w:val="4B6D608D"/>
    <w:rsid w:val="4B6D75C2"/>
    <w:rsid w:val="4B70307C"/>
    <w:rsid w:val="4B70632A"/>
    <w:rsid w:val="4B756271"/>
    <w:rsid w:val="4B7C0DDC"/>
    <w:rsid w:val="4B7F0E9E"/>
    <w:rsid w:val="4B804692"/>
    <w:rsid w:val="4B8A669A"/>
    <w:rsid w:val="4B8F3133"/>
    <w:rsid w:val="4B915C8C"/>
    <w:rsid w:val="4B9208D8"/>
    <w:rsid w:val="4B935724"/>
    <w:rsid w:val="4B9366F7"/>
    <w:rsid w:val="4B956E05"/>
    <w:rsid w:val="4B960CC7"/>
    <w:rsid w:val="4B991F60"/>
    <w:rsid w:val="4B9C1A50"/>
    <w:rsid w:val="4B9D0B6B"/>
    <w:rsid w:val="4BA12BC2"/>
    <w:rsid w:val="4BA14925"/>
    <w:rsid w:val="4BA15E9C"/>
    <w:rsid w:val="4BA250EF"/>
    <w:rsid w:val="4BA26C54"/>
    <w:rsid w:val="4BA32DDE"/>
    <w:rsid w:val="4BA456E3"/>
    <w:rsid w:val="4BA80A71"/>
    <w:rsid w:val="4BA93423"/>
    <w:rsid w:val="4BAC10B7"/>
    <w:rsid w:val="4BAC3727"/>
    <w:rsid w:val="4BAD6BF6"/>
    <w:rsid w:val="4BAD7E04"/>
    <w:rsid w:val="4BB01057"/>
    <w:rsid w:val="4BB41A6E"/>
    <w:rsid w:val="4BB52DA6"/>
    <w:rsid w:val="4BB548C0"/>
    <w:rsid w:val="4BB567DB"/>
    <w:rsid w:val="4BB77680"/>
    <w:rsid w:val="4BBF151B"/>
    <w:rsid w:val="4BBF74EC"/>
    <w:rsid w:val="4BC15D30"/>
    <w:rsid w:val="4BC1732F"/>
    <w:rsid w:val="4BC3339D"/>
    <w:rsid w:val="4BC36FDC"/>
    <w:rsid w:val="4BC575D2"/>
    <w:rsid w:val="4BC611BA"/>
    <w:rsid w:val="4BCB40E3"/>
    <w:rsid w:val="4BCD5182"/>
    <w:rsid w:val="4BCD6B54"/>
    <w:rsid w:val="4BCE4E1C"/>
    <w:rsid w:val="4BD016F9"/>
    <w:rsid w:val="4BD029AA"/>
    <w:rsid w:val="4BD11922"/>
    <w:rsid w:val="4BD12A0E"/>
    <w:rsid w:val="4BD225F4"/>
    <w:rsid w:val="4BD411EA"/>
    <w:rsid w:val="4BD42F98"/>
    <w:rsid w:val="4BD61E57"/>
    <w:rsid w:val="4BD62F9E"/>
    <w:rsid w:val="4BDB2578"/>
    <w:rsid w:val="4BDB45E0"/>
    <w:rsid w:val="4BDC62B6"/>
    <w:rsid w:val="4BDE0094"/>
    <w:rsid w:val="4BDE2D31"/>
    <w:rsid w:val="4BE34F89"/>
    <w:rsid w:val="4BE75B1A"/>
    <w:rsid w:val="4BE8721C"/>
    <w:rsid w:val="4BEF5131"/>
    <w:rsid w:val="4BF03B4A"/>
    <w:rsid w:val="4BF058F8"/>
    <w:rsid w:val="4BF1789A"/>
    <w:rsid w:val="4BF453E8"/>
    <w:rsid w:val="4BF4782A"/>
    <w:rsid w:val="4BF50B1A"/>
    <w:rsid w:val="4BF54CBC"/>
    <w:rsid w:val="4BF56BA0"/>
    <w:rsid w:val="4BF73ADD"/>
    <w:rsid w:val="4BF930BB"/>
    <w:rsid w:val="4BFC6214"/>
    <w:rsid w:val="4BFD76B3"/>
    <w:rsid w:val="4C005047"/>
    <w:rsid w:val="4C026955"/>
    <w:rsid w:val="4C036F92"/>
    <w:rsid w:val="4C070326"/>
    <w:rsid w:val="4C076645"/>
    <w:rsid w:val="4C080E93"/>
    <w:rsid w:val="4C083E95"/>
    <w:rsid w:val="4C094A59"/>
    <w:rsid w:val="4C0A69B9"/>
    <w:rsid w:val="4C0C0983"/>
    <w:rsid w:val="4C0D2006"/>
    <w:rsid w:val="4C11151C"/>
    <w:rsid w:val="4C136C9C"/>
    <w:rsid w:val="4C150230"/>
    <w:rsid w:val="4C161042"/>
    <w:rsid w:val="4C172822"/>
    <w:rsid w:val="4C1A52CD"/>
    <w:rsid w:val="4C1B2975"/>
    <w:rsid w:val="4C1C049B"/>
    <w:rsid w:val="4C1C2AC8"/>
    <w:rsid w:val="4C1E00A3"/>
    <w:rsid w:val="4C1E4213"/>
    <w:rsid w:val="4C1E4787"/>
    <w:rsid w:val="4C1F6434"/>
    <w:rsid w:val="4C20442F"/>
    <w:rsid w:val="4C2400EA"/>
    <w:rsid w:val="4C25679C"/>
    <w:rsid w:val="4C265F37"/>
    <w:rsid w:val="4C26756B"/>
    <w:rsid w:val="4C286399"/>
    <w:rsid w:val="4C2C0C2B"/>
    <w:rsid w:val="4C2D4456"/>
    <w:rsid w:val="4C2E6A98"/>
    <w:rsid w:val="4C2F6420"/>
    <w:rsid w:val="4C325242"/>
    <w:rsid w:val="4C356BDE"/>
    <w:rsid w:val="4C371778"/>
    <w:rsid w:val="4C3A6B73"/>
    <w:rsid w:val="4C4A0649"/>
    <w:rsid w:val="4C4A14AC"/>
    <w:rsid w:val="4C4A325A"/>
    <w:rsid w:val="4C4D4AF8"/>
    <w:rsid w:val="4C4E4C37"/>
    <w:rsid w:val="4C4F72C0"/>
    <w:rsid w:val="4C525B59"/>
    <w:rsid w:val="4C555D87"/>
    <w:rsid w:val="4C5963F9"/>
    <w:rsid w:val="4C6111C2"/>
    <w:rsid w:val="4C621D89"/>
    <w:rsid w:val="4C6423B9"/>
    <w:rsid w:val="4C652E2A"/>
    <w:rsid w:val="4C6C7A4C"/>
    <w:rsid w:val="4C6D5CD6"/>
    <w:rsid w:val="4C6D62EC"/>
    <w:rsid w:val="4C6E1206"/>
    <w:rsid w:val="4C6F1BC7"/>
    <w:rsid w:val="4C6F2B9C"/>
    <w:rsid w:val="4C721961"/>
    <w:rsid w:val="4C72239D"/>
    <w:rsid w:val="4C746529"/>
    <w:rsid w:val="4C76203C"/>
    <w:rsid w:val="4C7763FE"/>
    <w:rsid w:val="4C79769B"/>
    <w:rsid w:val="4C7B1665"/>
    <w:rsid w:val="4C7C167A"/>
    <w:rsid w:val="4C7C2484"/>
    <w:rsid w:val="4C7C5F1D"/>
    <w:rsid w:val="4C7D1507"/>
    <w:rsid w:val="4C7E2F03"/>
    <w:rsid w:val="4C7E5ECA"/>
    <w:rsid w:val="4C7F1842"/>
    <w:rsid w:val="4C7F78F0"/>
    <w:rsid w:val="4C800A2A"/>
    <w:rsid w:val="4C831EDD"/>
    <w:rsid w:val="4C854292"/>
    <w:rsid w:val="4C866699"/>
    <w:rsid w:val="4C876AA5"/>
    <w:rsid w:val="4C8A2C90"/>
    <w:rsid w:val="4C91133F"/>
    <w:rsid w:val="4C9163C4"/>
    <w:rsid w:val="4C925885"/>
    <w:rsid w:val="4C943335"/>
    <w:rsid w:val="4C9726F2"/>
    <w:rsid w:val="4C987581"/>
    <w:rsid w:val="4C997D3D"/>
    <w:rsid w:val="4C9B3AB5"/>
    <w:rsid w:val="4CA23096"/>
    <w:rsid w:val="4CA31933"/>
    <w:rsid w:val="4CA41F2E"/>
    <w:rsid w:val="4CA442FF"/>
    <w:rsid w:val="4CA448B4"/>
    <w:rsid w:val="4CA706AC"/>
    <w:rsid w:val="4CAA6343"/>
    <w:rsid w:val="4CAD116E"/>
    <w:rsid w:val="4CAE0131"/>
    <w:rsid w:val="4CAE37E9"/>
    <w:rsid w:val="4CAF7775"/>
    <w:rsid w:val="4CB05ADF"/>
    <w:rsid w:val="4CB23DC3"/>
    <w:rsid w:val="4CB42F5B"/>
    <w:rsid w:val="4CB84FB9"/>
    <w:rsid w:val="4CB86415"/>
    <w:rsid w:val="4CB91FEF"/>
    <w:rsid w:val="4CBD46A4"/>
    <w:rsid w:val="4CBE1552"/>
    <w:rsid w:val="4CC05F59"/>
    <w:rsid w:val="4CC42D8E"/>
    <w:rsid w:val="4CC529EA"/>
    <w:rsid w:val="4CC57DF7"/>
    <w:rsid w:val="4CC73328"/>
    <w:rsid w:val="4CC84B02"/>
    <w:rsid w:val="4CCA439B"/>
    <w:rsid w:val="4CCA7EF7"/>
    <w:rsid w:val="4CCD0619"/>
    <w:rsid w:val="4CCD64CC"/>
    <w:rsid w:val="4CD26AEF"/>
    <w:rsid w:val="4CD36171"/>
    <w:rsid w:val="4CD55F2A"/>
    <w:rsid w:val="4CD71B53"/>
    <w:rsid w:val="4CDA32CA"/>
    <w:rsid w:val="4CDA330E"/>
    <w:rsid w:val="4CDC0028"/>
    <w:rsid w:val="4CDC4039"/>
    <w:rsid w:val="4CDD75B8"/>
    <w:rsid w:val="4CDF0AB4"/>
    <w:rsid w:val="4CE2049B"/>
    <w:rsid w:val="4CE234C3"/>
    <w:rsid w:val="4CE37103"/>
    <w:rsid w:val="4CE4545C"/>
    <w:rsid w:val="4CE526C6"/>
    <w:rsid w:val="4CE74FE6"/>
    <w:rsid w:val="4CE940C8"/>
    <w:rsid w:val="4CE94821"/>
    <w:rsid w:val="4CEB1599"/>
    <w:rsid w:val="4CEE381A"/>
    <w:rsid w:val="4CEE7D8B"/>
    <w:rsid w:val="4CEF6349"/>
    <w:rsid w:val="4CF01316"/>
    <w:rsid w:val="4CF15B39"/>
    <w:rsid w:val="4CF41F08"/>
    <w:rsid w:val="4CF638BA"/>
    <w:rsid w:val="4CF7313B"/>
    <w:rsid w:val="4CFB09F8"/>
    <w:rsid w:val="4CFB4554"/>
    <w:rsid w:val="4D010653"/>
    <w:rsid w:val="4D042F9F"/>
    <w:rsid w:val="4D07114B"/>
    <w:rsid w:val="4D07739D"/>
    <w:rsid w:val="4D096C71"/>
    <w:rsid w:val="4D0C6761"/>
    <w:rsid w:val="4D0D1FB1"/>
    <w:rsid w:val="4D0E00FB"/>
    <w:rsid w:val="4D0E0191"/>
    <w:rsid w:val="4D0E2F73"/>
    <w:rsid w:val="4D112219"/>
    <w:rsid w:val="4D152E6B"/>
    <w:rsid w:val="4D155616"/>
    <w:rsid w:val="4D1656C9"/>
    <w:rsid w:val="4D1675E0"/>
    <w:rsid w:val="4D1711A5"/>
    <w:rsid w:val="4D176606"/>
    <w:rsid w:val="4D1818F9"/>
    <w:rsid w:val="4D1B4482"/>
    <w:rsid w:val="4D2104B7"/>
    <w:rsid w:val="4D221AE1"/>
    <w:rsid w:val="4D2262E1"/>
    <w:rsid w:val="4D256418"/>
    <w:rsid w:val="4D2717ED"/>
    <w:rsid w:val="4D2932CF"/>
    <w:rsid w:val="4D2A0270"/>
    <w:rsid w:val="4D2A1B7E"/>
    <w:rsid w:val="4D2C3A98"/>
    <w:rsid w:val="4D354E86"/>
    <w:rsid w:val="4D3A1520"/>
    <w:rsid w:val="4D3B6EF5"/>
    <w:rsid w:val="4D3D2DBF"/>
    <w:rsid w:val="4D3F2693"/>
    <w:rsid w:val="4D44004E"/>
    <w:rsid w:val="4D48699D"/>
    <w:rsid w:val="4D4B49B2"/>
    <w:rsid w:val="4D4C2E74"/>
    <w:rsid w:val="4D4D5716"/>
    <w:rsid w:val="4D50069C"/>
    <w:rsid w:val="4D507F44"/>
    <w:rsid w:val="4D510618"/>
    <w:rsid w:val="4D523117"/>
    <w:rsid w:val="4D537916"/>
    <w:rsid w:val="4D5622C5"/>
    <w:rsid w:val="4D5D3CB3"/>
    <w:rsid w:val="4D5F249C"/>
    <w:rsid w:val="4D602609"/>
    <w:rsid w:val="4D622825"/>
    <w:rsid w:val="4D651E0F"/>
    <w:rsid w:val="4D695962"/>
    <w:rsid w:val="4D6A0F3A"/>
    <w:rsid w:val="4D6D3F02"/>
    <w:rsid w:val="4D756792"/>
    <w:rsid w:val="4D767342"/>
    <w:rsid w:val="4D767FDB"/>
    <w:rsid w:val="4D7725AB"/>
    <w:rsid w:val="4D7A191D"/>
    <w:rsid w:val="4D7B4640"/>
    <w:rsid w:val="4D7B7443"/>
    <w:rsid w:val="4D7D1B06"/>
    <w:rsid w:val="4D80488C"/>
    <w:rsid w:val="4D834C75"/>
    <w:rsid w:val="4D8658F2"/>
    <w:rsid w:val="4D870CC3"/>
    <w:rsid w:val="4D880345"/>
    <w:rsid w:val="4D890CEE"/>
    <w:rsid w:val="4D891B60"/>
    <w:rsid w:val="4D89372D"/>
    <w:rsid w:val="4D8960D0"/>
    <w:rsid w:val="4D8A3DDA"/>
    <w:rsid w:val="4D8A66B3"/>
    <w:rsid w:val="4D8B3B2A"/>
    <w:rsid w:val="4D8C310A"/>
    <w:rsid w:val="4D8F77C9"/>
    <w:rsid w:val="4D903FFE"/>
    <w:rsid w:val="4D926713"/>
    <w:rsid w:val="4D977D83"/>
    <w:rsid w:val="4D987FF5"/>
    <w:rsid w:val="4D9A3DA0"/>
    <w:rsid w:val="4D9A5B1B"/>
    <w:rsid w:val="4D9F7DEE"/>
    <w:rsid w:val="4DAA4106"/>
    <w:rsid w:val="4DAB2C9F"/>
    <w:rsid w:val="4DAD3AA0"/>
    <w:rsid w:val="4DB1032A"/>
    <w:rsid w:val="4DB152A2"/>
    <w:rsid w:val="4DB177A6"/>
    <w:rsid w:val="4DB25737"/>
    <w:rsid w:val="4DB66A62"/>
    <w:rsid w:val="4DB90697"/>
    <w:rsid w:val="4DBA440F"/>
    <w:rsid w:val="4DBB4542"/>
    <w:rsid w:val="4DBD7A5B"/>
    <w:rsid w:val="4DC02B11"/>
    <w:rsid w:val="4DC06F35"/>
    <w:rsid w:val="4DC16332"/>
    <w:rsid w:val="4DC247E8"/>
    <w:rsid w:val="4DC56A8B"/>
    <w:rsid w:val="4DC95DB0"/>
    <w:rsid w:val="4DCF12D7"/>
    <w:rsid w:val="4DCF13D9"/>
    <w:rsid w:val="4DD336AC"/>
    <w:rsid w:val="4DD35C36"/>
    <w:rsid w:val="4DDB254D"/>
    <w:rsid w:val="4DDB5CFD"/>
    <w:rsid w:val="4DDD4677"/>
    <w:rsid w:val="4DDD5F73"/>
    <w:rsid w:val="4DE33966"/>
    <w:rsid w:val="4DE35714"/>
    <w:rsid w:val="4DE560B8"/>
    <w:rsid w:val="4DEA43D5"/>
    <w:rsid w:val="4DEB459E"/>
    <w:rsid w:val="4DEB6377"/>
    <w:rsid w:val="4DEC4FB0"/>
    <w:rsid w:val="4DF061D7"/>
    <w:rsid w:val="4DF36851"/>
    <w:rsid w:val="4DF416CF"/>
    <w:rsid w:val="4DF5340F"/>
    <w:rsid w:val="4DF72F6D"/>
    <w:rsid w:val="4DF94F37"/>
    <w:rsid w:val="4DFC18F5"/>
    <w:rsid w:val="4DFF1CED"/>
    <w:rsid w:val="4E007381"/>
    <w:rsid w:val="4E0336C0"/>
    <w:rsid w:val="4E0625BB"/>
    <w:rsid w:val="4E06453B"/>
    <w:rsid w:val="4E075D8A"/>
    <w:rsid w:val="4E0812C0"/>
    <w:rsid w:val="4E0B4C6B"/>
    <w:rsid w:val="4E0C2F46"/>
    <w:rsid w:val="4E0E4B2C"/>
    <w:rsid w:val="4E0F0473"/>
    <w:rsid w:val="4E100DE3"/>
    <w:rsid w:val="4E107DC4"/>
    <w:rsid w:val="4E15789C"/>
    <w:rsid w:val="4E165AE9"/>
    <w:rsid w:val="4E1976EC"/>
    <w:rsid w:val="4E1A4EAE"/>
    <w:rsid w:val="4E1B54A8"/>
    <w:rsid w:val="4E1E269B"/>
    <w:rsid w:val="4E2300D4"/>
    <w:rsid w:val="4E241889"/>
    <w:rsid w:val="4E243296"/>
    <w:rsid w:val="4E2536B9"/>
    <w:rsid w:val="4E28581D"/>
    <w:rsid w:val="4E2A50F1"/>
    <w:rsid w:val="4E3023E8"/>
    <w:rsid w:val="4E3046D1"/>
    <w:rsid w:val="4E320449"/>
    <w:rsid w:val="4E327823"/>
    <w:rsid w:val="4E39580D"/>
    <w:rsid w:val="4E3A10AC"/>
    <w:rsid w:val="4E3A4E06"/>
    <w:rsid w:val="4E3A4FB6"/>
    <w:rsid w:val="4E3D24DB"/>
    <w:rsid w:val="4E4002AC"/>
    <w:rsid w:val="4E416D85"/>
    <w:rsid w:val="4E422B2B"/>
    <w:rsid w:val="4E434405"/>
    <w:rsid w:val="4E461087"/>
    <w:rsid w:val="4E4627F4"/>
    <w:rsid w:val="4E4B1171"/>
    <w:rsid w:val="4E4C1D55"/>
    <w:rsid w:val="4E4D0DDF"/>
    <w:rsid w:val="4E5008D0"/>
    <w:rsid w:val="4E506F41"/>
    <w:rsid w:val="4E532A20"/>
    <w:rsid w:val="4E5402F6"/>
    <w:rsid w:val="4E541F42"/>
    <w:rsid w:val="4E5458A5"/>
    <w:rsid w:val="4E5A0E12"/>
    <w:rsid w:val="4E5A2D4C"/>
    <w:rsid w:val="4E5F20DC"/>
    <w:rsid w:val="4E616639"/>
    <w:rsid w:val="4E6323B1"/>
    <w:rsid w:val="4E64248C"/>
    <w:rsid w:val="4E652141"/>
    <w:rsid w:val="4E672CC0"/>
    <w:rsid w:val="4E6879C7"/>
    <w:rsid w:val="4E6974F8"/>
    <w:rsid w:val="4E6C5A1E"/>
    <w:rsid w:val="4E6C76F5"/>
    <w:rsid w:val="4E6D01EE"/>
    <w:rsid w:val="4E6F0D56"/>
    <w:rsid w:val="4E6F7858"/>
    <w:rsid w:val="4E724CAE"/>
    <w:rsid w:val="4E726AC7"/>
    <w:rsid w:val="4E734A6A"/>
    <w:rsid w:val="4E74680B"/>
    <w:rsid w:val="4E747792"/>
    <w:rsid w:val="4E774EC4"/>
    <w:rsid w:val="4E7A264C"/>
    <w:rsid w:val="4E7A4419"/>
    <w:rsid w:val="4E7B09D2"/>
    <w:rsid w:val="4E7B186A"/>
    <w:rsid w:val="4E7C16C5"/>
    <w:rsid w:val="4E7E543D"/>
    <w:rsid w:val="4E7F169D"/>
    <w:rsid w:val="4E8151D4"/>
    <w:rsid w:val="4E821B43"/>
    <w:rsid w:val="4E843881"/>
    <w:rsid w:val="4E8A74B9"/>
    <w:rsid w:val="4E8B1C34"/>
    <w:rsid w:val="4E8D38D2"/>
    <w:rsid w:val="4E8D5131"/>
    <w:rsid w:val="4E8D742E"/>
    <w:rsid w:val="4E9407BC"/>
    <w:rsid w:val="4E9569A3"/>
    <w:rsid w:val="4E9671D1"/>
    <w:rsid w:val="4E9B1B4B"/>
    <w:rsid w:val="4E9F50B2"/>
    <w:rsid w:val="4EA03E96"/>
    <w:rsid w:val="4EA05E38"/>
    <w:rsid w:val="4EA07161"/>
    <w:rsid w:val="4EA50A05"/>
    <w:rsid w:val="4EA76741"/>
    <w:rsid w:val="4EAD5FBE"/>
    <w:rsid w:val="4EAD7AD0"/>
    <w:rsid w:val="4EB04235"/>
    <w:rsid w:val="4EB1320B"/>
    <w:rsid w:val="4EB33338"/>
    <w:rsid w:val="4EB470B0"/>
    <w:rsid w:val="4EB55699"/>
    <w:rsid w:val="4EBA0A65"/>
    <w:rsid w:val="4EBA6E49"/>
    <w:rsid w:val="4EBB3F9B"/>
    <w:rsid w:val="4EBD5F65"/>
    <w:rsid w:val="4EC00FAD"/>
    <w:rsid w:val="4EC01F84"/>
    <w:rsid w:val="4EC03A0C"/>
    <w:rsid w:val="4EC2357B"/>
    <w:rsid w:val="4EC372F3"/>
    <w:rsid w:val="4EC421AA"/>
    <w:rsid w:val="4EC50156"/>
    <w:rsid w:val="4EC629D5"/>
    <w:rsid w:val="4ECA68D4"/>
    <w:rsid w:val="4ECC7F56"/>
    <w:rsid w:val="4ECF5C98"/>
    <w:rsid w:val="4ECF71B2"/>
    <w:rsid w:val="4EDB782B"/>
    <w:rsid w:val="4EDF6193"/>
    <w:rsid w:val="4EE03A01"/>
    <w:rsid w:val="4EE403EB"/>
    <w:rsid w:val="4EE4531A"/>
    <w:rsid w:val="4EE72FE2"/>
    <w:rsid w:val="4EEC684A"/>
    <w:rsid w:val="4EED13A3"/>
    <w:rsid w:val="4EED5013"/>
    <w:rsid w:val="4EEE17AC"/>
    <w:rsid w:val="4EF01597"/>
    <w:rsid w:val="4EF2712F"/>
    <w:rsid w:val="4EF31987"/>
    <w:rsid w:val="4EF52AA9"/>
    <w:rsid w:val="4EF63225"/>
    <w:rsid w:val="4EFE13F1"/>
    <w:rsid w:val="4EFF426B"/>
    <w:rsid w:val="4EFF657E"/>
    <w:rsid w:val="4F022D37"/>
    <w:rsid w:val="4F0932D4"/>
    <w:rsid w:val="4F0A4ABD"/>
    <w:rsid w:val="4F0B5D5F"/>
    <w:rsid w:val="4F0C2865"/>
    <w:rsid w:val="4F0E056F"/>
    <w:rsid w:val="4F0E4E1D"/>
    <w:rsid w:val="4F0F753B"/>
    <w:rsid w:val="4F1332AA"/>
    <w:rsid w:val="4F133DD7"/>
    <w:rsid w:val="4F135E6A"/>
    <w:rsid w:val="4F147B4F"/>
    <w:rsid w:val="4F15241D"/>
    <w:rsid w:val="4F162DE0"/>
    <w:rsid w:val="4F1847F0"/>
    <w:rsid w:val="4F1C3B1F"/>
    <w:rsid w:val="4F200A34"/>
    <w:rsid w:val="4F217669"/>
    <w:rsid w:val="4F22226C"/>
    <w:rsid w:val="4F291E45"/>
    <w:rsid w:val="4F2E2C0F"/>
    <w:rsid w:val="4F32215C"/>
    <w:rsid w:val="4F334792"/>
    <w:rsid w:val="4F336227"/>
    <w:rsid w:val="4F337FD5"/>
    <w:rsid w:val="4F3614E8"/>
    <w:rsid w:val="4F367AC5"/>
    <w:rsid w:val="4F372CC3"/>
    <w:rsid w:val="4F38383D"/>
    <w:rsid w:val="4F3F411A"/>
    <w:rsid w:val="4F42290E"/>
    <w:rsid w:val="4F455F5A"/>
    <w:rsid w:val="4F461B54"/>
    <w:rsid w:val="4F4C2080"/>
    <w:rsid w:val="4F4C72E9"/>
    <w:rsid w:val="4F4F0B87"/>
    <w:rsid w:val="4F5657FC"/>
    <w:rsid w:val="4F59401C"/>
    <w:rsid w:val="4F5D32A4"/>
    <w:rsid w:val="4F5D5499"/>
    <w:rsid w:val="4F5E143E"/>
    <w:rsid w:val="4F5E1519"/>
    <w:rsid w:val="4F616BDD"/>
    <w:rsid w:val="4F624D5E"/>
    <w:rsid w:val="4F62701A"/>
    <w:rsid w:val="4F631ED2"/>
    <w:rsid w:val="4F6665FD"/>
    <w:rsid w:val="4F675ED1"/>
    <w:rsid w:val="4F6A1178"/>
    <w:rsid w:val="4F6A4411"/>
    <w:rsid w:val="4F6D44D3"/>
    <w:rsid w:val="4F702FD7"/>
    <w:rsid w:val="4F722AE8"/>
    <w:rsid w:val="4F732AC8"/>
    <w:rsid w:val="4F734C0B"/>
    <w:rsid w:val="4F7426F3"/>
    <w:rsid w:val="4F761813"/>
    <w:rsid w:val="4F765A79"/>
    <w:rsid w:val="4F7A3E56"/>
    <w:rsid w:val="4F7A46C7"/>
    <w:rsid w:val="4F7A4B25"/>
    <w:rsid w:val="4F7A7232"/>
    <w:rsid w:val="4F7B372A"/>
    <w:rsid w:val="4F7E6869"/>
    <w:rsid w:val="4F806E32"/>
    <w:rsid w:val="4F81669C"/>
    <w:rsid w:val="4F844CD5"/>
    <w:rsid w:val="4F8646AF"/>
    <w:rsid w:val="4F870321"/>
    <w:rsid w:val="4F881E59"/>
    <w:rsid w:val="4F88527B"/>
    <w:rsid w:val="4F89799A"/>
    <w:rsid w:val="4F8A3D9F"/>
    <w:rsid w:val="4F8B552C"/>
    <w:rsid w:val="4F8E10E5"/>
    <w:rsid w:val="4F8E411E"/>
    <w:rsid w:val="4F9111A0"/>
    <w:rsid w:val="4F914475"/>
    <w:rsid w:val="4F936CC6"/>
    <w:rsid w:val="4F980780"/>
    <w:rsid w:val="4F9843DC"/>
    <w:rsid w:val="4F9B19A9"/>
    <w:rsid w:val="4FA36773"/>
    <w:rsid w:val="4FA50603"/>
    <w:rsid w:val="4FA5404F"/>
    <w:rsid w:val="4FA7041B"/>
    <w:rsid w:val="4FA73C07"/>
    <w:rsid w:val="4FAA24EE"/>
    <w:rsid w:val="4FAA70A0"/>
    <w:rsid w:val="4FAC11AE"/>
    <w:rsid w:val="4FAE03B6"/>
    <w:rsid w:val="4FAE3B00"/>
    <w:rsid w:val="4FAE65D4"/>
    <w:rsid w:val="4FB12D62"/>
    <w:rsid w:val="4FB1494E"/>
    <w:rsid w:val="4FB21842"/>
    <w:rsid w:val="4FB27526"/>
    <w:rsid w:val="4FB41AF6"/>
    <w:rsid w:val="4FB530E0"/>
    <w:rsid w:val="4FB74571"/>
    <w:rsid w:val="4FB82BD0"/>
    <w:rsid w:val="4FB9359E"/>
    <w:rsid w:val="4FC62A8C"/>
    <w:rsid w:val="4FC721D5"/>
    <w:rsid w:val="4FC95CBA"/>
    <w:rsid w:val="4FD5108C"/>
    <w:rsid w:val="4FD53C64"/>
    <w:rsid w:val="4FD60131"/>
    <w:rsid w:val="4FD858A9"/>
    <w:rsid w:val="4FDA672B"/>
    <w:rsid w:val="4FDD4733"/>
    <w:rsid w:val="4FDE2637"/>
    <w:rsid w:val="4FDE3EF0"/>
    <w:rsid w:val="4FDF1D44"/>
    <w:rsid w:val="4FE02599"/>
    <w:rsid w:val="4FE05E87"/>
    <w:rsid w:val="4FE13ED5"/>
    <w:rsid w:val="4FE20F0D"/>
    <w:rsid w:val="4FE43BD6"/>
    <w:rsid w:val="4FE44606"/>
    <w:rsid w:val="4FE47521"/>
    <w:rsid w:val="4FE51552"/>
    <w:rsid w:val="4FE70DC0"/>
    <w:rsid w:val="4FE77252"/>
    <w:rsid w:val="4FE973A5"/>
    <w:rsid w:val="4FEB01C7"/>
    <w:rsid w:val="4FED4628"/>
    <w:rsid w:val="4FEF14CA"/>
    <w:rsid w:val="4FF170CC"/>
    <w:rsid w:val="4FF21C3E"/>
    <w:rsid w:val="4FF533AE"/>
    <w:rsid w:val="4FFB6354"/>
    <w:rsid w:val="4FFC557D"/>
    <w:rsid w:val="4FFD05E3"/>
    <w:rsid w:val="4FFE6408"/>
    <w:rsid w:val="4FFE6835"/>
    <w:rsid w:val="50020E07"/>
    <w:rsid w:val="50055E16"/>
    <w:rsid w:val="50061ED6"/>
    <w:rsid w:val="500930F0"/>
    <w:rsid w:val="500B37BB"/>
    <w:rsid w:val="500E1DBD"/>
    <w:rsid w:val="500F6F53"/>
    <w:rsid w:val="501047BA"/>
    <w:rsid w:val="50104E24"/>
    <w:rsid w:val="50120532"/>
    <w:rsid w:val="5012408F"/>
    <w:rsid w:val="50174509"/>
    <w:rsid w:val="501B2B02"/>
    <w:rsid w:val="501E6ED7"/>
    <w:rsid w:val="50216DCD"/>
    <w:rsid w:val="50221446"/>
    <w:rsid w:val="502302EC"/>
    <w:rsid w:val="502344EE"/>
    <w:rsid w:val="5023629C"/>
    <w:rsid w:val="50265D8C"/>
    <w:rsid w:val="502A1FEB"/>
    <w:rsid w:val="502E2F03"/>
    <w:rsid w:val="503156E2"/>
    <w:rsid w:val="5032028D"/>
    <w:rsid w:val="5032576F"/>
    <w:rsid w:val="503306A9"/>
    <w:rsid w:val="50333DEC"/>
    <w:rsid w:val="50352BA8"/>
    <w:rsid w:val="503602DD"/>
    <w:rsid w:val="5037002A"/>
    <w:rsid w:val="503830A0"/>
    <w:rsid w:val="503877B9"/>
    <w:rsid w:val="503B1CF6"/>
    <w:rsid w:val="503C5183"/>
    <w:rsid w:val="503C735D"/>
    <w:rsid w:val="50406E4E"/>
    <w:rsid w:val="5043249A"/>
    <w:rsid w:val="50484062"/>
    <w:rsid w:val="504B75A0"/>
    <w:rsid w:val="504C09D4"/>
    <w:rsid w:val="504C2826"/>
    <w:rsid w:val="50504C4B"/>
    <w:rsid w:val="50584213"/>
    <w:rsid w:val="505957C2"/>
    <w:rsid w:val="505B36CB"/>
    <w:rsid w:val="505C727F"/>
    <w:rsid w:val="505F095F"/>
    <w:rsid w:val="50625B3A"/>
    <w:rsid w:val="50630D8E"/>
    <w:rsid w:val="506335E3"/>
    <w:rsid w:val="50633CA5"/>
    <w:rsid w:val="506405E4"/>
    <w:rsid w:val="50642410"/>
    <w:rsid w:val="50661F27"/>
    <w:rsid w:val="50670EF1"/>
    <w:rsid w:val="506765BF"/>
    <w:rsid w:val="506863A4"/>
    <w:rsid w:val="50700C31"/>
    <w:rsid w:val="50704A7B"/>
    <w:rsid w:val="50705420"/>
    <w:rsid w:val="507104B1"/>
    <w:rsid w:val="50710521"/>
    <w:rsid w:val="5071629A"/>
    <w:rsid w:val="50723775"/>
    <w:rsid w:val="50745139"/>
    <w:rsid w:val="5075461D"/>
    <w:rsid w:val="50767BFF"/>
    <w:rsid w:val="507851F9"/>
    <w:rsid w:val="5078643C"/>
    <w:rsid w:val="507B555A"/>
    <w:rsid w:val="507C715D"/>
    <w:rsid w:val="507F1B92"/>
    <w:rsid w:val="507F3FEE"/>
    <w:rsid w:val="50810B36"/>
    <w:rsid w:val="50827466"/>
    <w:rsid w:val="50830394"/>
    <w:rsid w:val="50846BD0"/>
    <w:rsid w:val="508475BC"/>
    <w:rsid w:val="5089649E"/>
    <w:rsid w:val="508A1E77"/>
    <w:rsid w:val="509044A8"/>
    <w:rsid w:val="509176A9"/>
    <w:rsid w:val="5092008F"/>
    <w:rsid w:val="509251CF"/>
    <w:rsid w:val="50925C97"/>
    <w:rsid w:val="509423CA"/>
    <w:rsid w:val="50950307"/>
    <w:rsid w:val="509666D7"/>
    <w:rsid w:val="509727E6"/>
    <w:rsid w:val="509907DC"/>
    <w:rsid w:val="509C41E8"/>
    <w:rsid w:val="509C6E7C"/>
    <w:rsid w:val="509E51EB"/>
    <w:rsid w:val="50A15819"/>
    <w:rsid w:val="50A224C3"/>
    <w:rsid w:val="50A3118B"/>
    <w:rsid w:val="50A33062"/>
    <w:rsid w:val="50A47454"/>
    <w:rsid w:val="50A70C7B"/>
    <w:rsid w:val="50AC1D83"/>
    <w:rsid w:val="50AC59E0"/>
    <w:rsid w:val="50AD661A"/>
    <w:rsid w:val="50AF4B29"/>
    <w:rsid w:val="50AF6AED"/>
    <w:rsid w:val="50AF75E2"/>
    <w:rsid w:val="50B06735"/>
    <w:rsid w:val="50B2209A"/>
    <w:rsid w:val="50B24004"/>
    <w:rsid w:val="50B538BD"/>
    <w:rsid w:val="50B67110"/>
    <w:rsid w:val="50B74787"/>
    <w:rsid w:val="50B8447B"/>
    <w:rsid w:val="50BE54AC"/>
    <w:rsid w:val="50BE5FC4"/>
    <w:rsid w:val="50BF1835"/>
    <w:rsid w:val="50C22FA9"/>
    <w:rsid w:val="50C35389"/>
    <w:rsid w:val="50C507DC"/>
    <w:rsid w:val="50CE53B3"/>
    <w:rsid w:val="50D15B9C"/>
    <w:rsid w:val="50D353F2"/>
    <w:rsid w:val="50D476B7"/>
    <w:rsid w:val="50D70E34"/>
    <w:rsid w:val="50D77086"/>
    <w:rsid w:val="50DB3DCF"/>
    <w:rsid w:val="50DF27FC"/>
    <w:rsid w:val="50E0418D"/>
    <w:rsid w:val="50E07803"/>
    <w:rsid w:val="50E169C8"/>
    <w:rsid w:val="50E5027B"/>
    <w:rsid w:val="50E627E9"/>
    <w:rsid w:val="50EA0B67"/>
    <w:rsid w:val="50EB44F1"/>
    <w:rsid w:val="50EB4D8E"/>
    <w:rsid w:val="50F11EF6"/>
    <w:rsid w:val="50F532D3"/>
    <w:rsid w:val="50F7615E"/>
    <w:rsid w:val="50F93994"/>
    <w:rsid w:val="50FB0FC7"/>
    <w:rsid w:val="50FE4613"/>
    <w:rsid w:val="510065DD"/>
    <w:rsid w:val="51027690"/>
    <w:rsid w:val="5106219A"/>
    <w:rsid w:val="5107796B"/>
    <w:rsid w:val="510B06A6"/>
    <w:rsid w:val="510C2A9A"/>
    <w:rsid w:val="51131A4D"/>
    <w:rsid w:val="51167679"/>
    <w:rsid w:val="51180D6E"/>
    <w:rsid w:val="511922FE"/>
    <w:rsid w:val="51214F5B"/>
    <w:rsid w:val="512168BF"/>
    <w:rsid w:val="51226553"/>
    <w:rsid w:val="512322CB"/>
    <w:rsid w:val="51247E97"/>
    <w:rsid w:val="51276F1F"/>
    <w:rsid w:val="51285364"/>
    <w:rsid w:val="512A5F99"/>
    <w:rsid w:val="512B3174"/>
    <w:rsid w:val="512C0B99"/>
    <w:rsid w:val="512C1180"/>
    <w:rsid w:val="512D710B"/>
    <w:rsid w:val="512D78A4"/>
    <w:rsid w:val="512F5085"/>
    <w:rsid w:val="513120F8"/>
    <w:rsid w:val="51346287"/>
    <w:rsid w:val="5138263C"/>
    <w:rsid w:val="51387B25"/>
    <w:rsid w:val="51390D41"/>
    <w:rsid w:val="513C3A04"/>
    <w:rsid w:val="513E0B3E"/>
    <w:rsid w:val="513F4A16"/>
    <w:rsid w:val="514069D9"/>
    <w:rsid w:val="5142660E"/>
    <w:rsid w:val="5143482C"/>
    <w:rsid w:val="514364CA"/>
    <w:rsid w:val="51437034"/>
    <w:rsid w:val="514859DF"/>
    <w:rsid w:val="5151441F"/>
    <w:rsid w:val="51530621"/>
    <w:rsid w:val="515406D7"/>
    <w:rsid w:val="51550EA5"/>
    <w:rsid w:val="51556929"/>
    <w:rsid w:val="51586419"/>
    <w:rsid w:val="515A3A04"/>
    <w:rsid w:val="515A3F3F"/>
    <w:rsid w:val="515B22A4"/>
    <w:rsid w:val="515E42D3"/>
    <w:rsid w:val="515E6E90"/>
    <w:rsid w:val="515E76C4"/>
    <w:rsid w:val="515F03F9"/>
    <w:rsid w:val="515F3303"/>
    <w:rsid w:val="5162104E"/>
    <w:rsid w:val="51621E9F"/>
    <w:rsid w:val="51645D69"/>
    <w:rsid w:val="5166155D"/>
    <w:rsid w:val="51695F30"/>
    <w:rsid w:val="516C362B"/>
    <w:rsid w:val="516E232E"/>
    <w:rsid w:val="516E3331"/>
    <w:rsid w:val="516E79E2"/>
    <w:rsid w:val="51702CBD"/>
    <w:rsid w:val="51751249"/>
    <w:rsid w:val="517534A5"/>
    <w:rsid w:val="51786173"/>
    <w:rsid w:val="517B2177"/>
    <w:rsid w:val="517B3EB5"/>
    <w:rsid w:val="517C746F"/>
    <w:rsid w:val="517C7D35"/>
    <w:rsid w:val="517D799B"/>
    <w:rsid w:val="517E63E7"/>
    <w:rsid w:val="517F7502"/>
    <w:rsid w:val="51853A25"/>
    <w:rsid w:val="518602AC"/>
    <w:rsid w:val="518776E6"/>
    <w:rsid w:val="518A5EA7"/>
    <w:rsid w:val="518C16C9"/>
    <w:rsid w:val="518F217A"/>
    <w:rsid w:val="51915302"/>
    <w:rsid w:val="5191796C"/>
    <w:rsid w:val="51964EBB"/>
    <w:rsid w:val="519B1430"/>
    <w:rsid w:val="519B3AD0"/>
    <w:rsid w:val="519B6306"/>
    <w:rsid w:val="519D3A21"/>
    <w:rsid w:val="51A37B16"/>
    <w:rsid w:val="51A46F68"/>
    <w:rsid w:val="51A90A23"/>
    <w:rsid w:val="51A95109"/>
    <w:rsid w:val="51AB0D8B"/>
    <w:rsid w:val="51B1208C"/>
    <w:rsid w:val="51B27246"/>
    <w:rsid w:val="51B32A01"/>
    <w:rsid w:val="51B42F05"/>
    <w:rsid w:val="51B629FA"/>
    <w:rsid w:val="51B65975"/>
    <w:rsid w:val="51B71FF0"/>
    <w:rsid w:val="51B8376E"/>
    <w:rsid w:val="51B8783B"/>
    <w:rsid w:val="51BA15C7"/>
    <w:rsid w:val="51BA24D4"/>
    <w:rsid w:val="51BC7E44"/>
    <w:rsid w:val="51BD75E0"/>
    <w:rsid w:val="51BE4DE2"/>
    <w:rsid w:val="51BF0246"/>
    <w:rsid w:val="51C016A0"/>
    <w:rsid w:val="51C21AE4"/>
    <w:rsid w:val="51C45A51"/>
    <w:rsid w:val="51C61D27"/>
    <w:rsid w:val="51C63383"/>
    <w:rsid w:val="51C655A9"/>
    <w:rsid w:val="51C95E41"/>
    <w:rsid w:val="51CE0EDC"/>
    <w:rsid w:val="51D4268F"/>
    <w:rsid w:val="51D75D1B"/>
    <w:rsid w:val="51D9773E"/>
    <w:rsid w:val="51DA5080"/>
    <w:rsid w:val="51DC0DF8"/>
    <w:rsid w:val="51DC4954"/>
    <w:rsid w:val="51E23F34"/>
    <w:rsid w:val="51E25CE3"/>
    <w:rsid w:val="51E41A5B"/>
    <w:rsid w:val="51E43809"/>
    <w:rsid w:val="51E75585"/>
    <w:rsid w:val="51ED37B7"/>
    <w:rsid w:val="51ED4DB3"/>
    <w:rsid w:val="51ED6B50"/>
    <w:rsid w:val="51EE6747"/>
    <w:rsid w:val="51F257D1"/>
    <w:rsid w:val="51F70677"/>
    <w:rsid w:val="51FA3AAA"/>
    <w:rsid w:val="51FF41ED"/>
    <w:rsid w:val="5200004C"/>
    <w:rsid w:val="52020133"/>
    <w:rsid w:val="52021EE1"/>
    <w:rsid w:val="520419E2"/>
    <w:rsid w:val="52043EAB"/>
    <w:rsid w:val="52083968"/>
    <w:rsid w:val="520D2BD0"/>
    <w:rsid w:val="520F7C62"/>
    <w:rsid w:val="5212487B"/>
    <w:rsid w:val="52171E55"/>
    <w:rsid w:val="521777BB"/>
    <w:rsid w:val="52181D61"/>
    <w:rsid w:val="52197F39"/>
    <w:rsid w:val="521A547C"/>
    <w:rsid w:val="521C2FA3"/>
    <w:rsid w:val="521D6D1B"/>
    <w:rsid w:val="521E743D"/>
    <w:rsid w:val="521F5F73"/>
    <w:rsid w:val="522040D1"/>
    <w:rsid w:val="5222272C"/>
    <w:rsid w:val="52236E98"/>
    <w:rsid w:val="522C16A6"/>
    <w:rsid w:val="522D1654"/>
    <w:rsid w:val="522D635A"/>
    <w:rsid w:val="523306CD"/>
    <w:rsid w:val="5233653E"/>
    <w:rsid w:val="5234135F"/>
    <w:rsid w:val="523920CC"/>
    <w:rsid w:val="523957BE"/>
    <w:rsid w:val="523A3DA6"/>
    <w:rsid w:val="523B06B4"/>
    <w:rsid w:val="523E1A58"/>
    <w:rsid w:val="52430A66"/>
    <w:rsid w:val="52431636"/>
    <w:rsid w:val="52462494"/>
    <w:rsid w:val="52486C29"/>
    <w:rsid w:val="524A247B"/>
    <w:rsid w:val="524F523C"/>
    <w:rsid w:val="525372F0"/>
    <w:rsid w:val="52556AC5"/>
    <w:rsid w:val="52570EFF"/>
    <w:rsid w:val="52574038"/>
    <w:rsid w:val="52585AF8"/>
    <w:rsid w:val="525A617C"/>
    <w:rsid w:val="525E180D"/>
    <w:rsid w:val="5268443A"/>
    <w:rsid w:val="52690163"/>
    <w:rsid w:val="526C31B7"/>
    <w:rsid w:val="526D7CA2"/>
    <w:rsid w:val="526E0D9C"/>
    <w:rsid w:val="52716252"/>
    <w:rsid w:val="52732325"/>
    <w:rsid w:val="527557A5"/>
    <w:rsid w:val="5275657F"/>
    <w:rsid w:val="527C0F08"/>
    <w:rsid w:val="527C6C69"/>
    <w:rsid w:val="527E6C8B"/>
    <w:rsid w:val="52816A7D"/>
    <w:rsid w:val="52825673"/>
    <w:rsid w:val="528366FE"/>
    <w:rsid w:val="52854A0D"/>
    <w:rsid w:val="5288013C"/>
    <w:rsid w:val="528B0128"/>
    <w:rsid w:val="528B1ED6"/>
    <w:rsid w:val="528C4C50"/>
    <w:rsid w:val="528D193D"/>
    <w:rsid w:val="528F05D8"/>
    <w:rsid w:val="52932568"/>
    <w:rsid w:val="529415BE"/>
    <w:rsid w:val="52943481"/>
    <w:rsid w:val="52946FDD"/>
    <w:rsid w:val="52947881"/>
    <w:rsid w:val="529671F9"/>
    <w:rsid w:val="52974D1F"/>
    <w:rsid w:val="529B781D"/>
    <w:rsid w:val="529C0587"/>
    <w:rsid w:val="529C3946"/>
    <w:rsid w:val="529D41F4"/>
    <w:rsid w:val="529E1C09"/>
    <w:rsid w:val="529F0F39"/>
    <w:rsid w:val="52A40443"/>
    <w:rsid w:val="52A65D39"/>
    <w:rsid w:val="52A76969"/>
    <w:rsid w:val="52A854F5"/>
    <w:rsid w:val="52A92EE5"/>
    <w:rsid w:val="52AA6800"/>
    <w:rsid w:val="52AB2F98"/>
    <w:rsid w:val="52AB501F"/>
    <w:rsid w:val="52AE062B"/>
    <w:rsid w:val="52AE5A86"/>
    <w:rsid w:val="52B0523E"/>
    <w:rsid w:val="52B21B59"/>
    <w:rsid w:val="52B23907"/>
    <w:rsid w:val="52B467DA"/>
    <w:rsid w:val="52B62E1F"/>
    <w:rsid w:val="52BC4786"/>
    <w:rsid w:val="52BE00CE"/>
    <w:rsid w:val="52BE405A"/>
    <w:rsid w:val="52C2463C"/>
    <w:rsid w:val="52C35B14"/>
    <w:rsid w:val="52C501E6"/>
    <w:rsid w:val="52C61CD2"/>
    <w:rsid w:val="52CD6993"/>
    <w:rsid w:val="52CF477C"/>
    <w:rsid w:val="52D07F37"/>
    <w:rsid w:val="52D15C64"/>
    <w:rsid w:val="52D32794"/>
    <w:rsid w:val="52D42F85"/>
    <w:rsid w:val="52D65847"/>
    <w:rsid w:val="52D7511B"/>
    <w:rsid w:val="52D94E5A"/>
    <w:rsid w:val="52DB4C0C"/>
    <w:rsid w:val="52E00474"/>
    <w:rsid w:val="52E53CDC"/>
    <w:rsid w:val="52E65479"/>
    <w:rsid w:val="52E95517"/>
    <w:rsid w:val="52EA6FAB"/>
    <w:rsid w:val="52EC6C24"/>
    <w:rsid w:val="52F208A7"/>
    <w:rsid w:val="52F47489"/>
    <w:rsid w:val="52F67121"/>
    <w:rsid w:val="52F7327B"/>
    <w:rsid w:val="52F83A10"/>
    <w:rsid w:val="52FB3500"/>
    <w:rsid w:val="52FB5FDA"/>
    <w:rsid w:val="52FD40E3"/>
    <w:rsid w:val="53007499"/>
    <w:rsid w:val="53043FDF"/>
    <w:rsid w:val="530513F1"/>
    <w:rsid w:val="53065971"/>
    <w:rsid w:val="530D2D00"/>
    <w:rsid w:val="530D6D8F"/>
    <w:rsid w:val="530F6FAB"/>
    <w:rsid w:val="53105470"/>
    <w:rsid w:val="531234F1"/>
    <w:rsid w:val="5313787A"/>
    <w:rsid w:val="531445C2"/>
    <w:rsid w:val="53161244"/>
    <w:rsid w:val="531729E9"/>
    <w:rsid w:val="53183648"/>
    <w:rsid w:val="53185E60"/>
    <w:rsid w:val="531D2ECC"/>
    <w:rsid w:val="531F3FF8"/>
    <w:rsid w:val="5320088A"/>
    <w:rsid w:val="53203500"/>
    <w:rsid w:val="53214645"/>
    <w:rsid w:val="53216955"/>
    <w:rsid w:val="532232C4"/>
    <w:rsid w:val="53227444"/>
    <w:rsid w:val="532540D9"/>
    <w:rsid w:val="532760A3"/>
    <w:rsid w:val="532B3906"/>
    <w:rsid w:val="532D11DF"/>
    <w:rsid w:val="532D5C8B"/>
    <w:rsid w:val="532D6E86"/>
    <w:rsid w:val="53303F2B"/>
    <w:rsid w:val="5332147E"/>
    <w:rsid w:val="53331D77"/>
    <w:rsid w:val="53334D4C"/>
    <w:rsid w:val="5334431C"/>
    <w:rsid w:val="53364538"/>
    <w:rsid w:val="53373E0C"/>
    <w:rsid w:val="53387E77"/>
    <w:rsid w:val="53395DD6"/>
    <w:rsid w:val="533B04CC"/>
    <w:rsid w:val="533B1B4E"/>
    <w:rsid w:val="533E01E4"/>
    <w:rsid w:val="533F1F43"/>
    <w:rsid w:val="533F72EE"/>
    <w:rsid w:val="53446C55"/>
    <w:rsid w:val="534611EA"/>
    <w:rsid w:val="53486019"/>
    <w:rsid w:val="53486386"/>
    <w:rsid w:val="534A3B3F"/>
    <w:rsid w:val="534A4481"/>
    <w:rsid w:val="534D2A52"/>
    <w:rsid w:val="534E5BC3"/>
    <w:rsid w:val="534F6EF0"/>
    <w:rsid w:val="534F7755"/>
    <w:rsid w:val="535233CD"/>
    <w:rsid w:val="53544E9A"/>
    <w:rsid w:val="5354676C"/>
    <w:rsid w:val="53591FD4"/>
    <w:rsid w:val="53594474"/>
    <w:rsid w:val="535E56F6"/>
    <w:rsid w:val="53625513"/>
    <w:rsid w:val="536C61AC"/>
    <w:rsid w:val="536D15B2"/>
    <w:rsid w:val="536F17F8"/>
    <w:rsid w:val="536F38A9"/>
    <w:rsid w:val="537114F4"/>
    <w:rsid w:val="537311BA"/>
    <w:rsid w:val="53743B4B"/>
    <w:rsid w:val="53791642"/>
    <w:rsid w:val="53796515"/>
    <w:rsid w:val="537A08C9"/>
    <w:rsid w:val="537B38A5"/>
    <w:rsid w:val="537B63EF"/>
    <w:rsid w:val="537D2167"/>
    <w:rsid w:val="537F5EDF"/>
    <w:rsid w:val="537F6368"/>
    <w:rsid w:val="537F6A81"/>
    <w:rsid w:val="53811F41"/>
    <w:rsid w:val="53811F66"/>
    <w:rsid w:val="538335F4"/>
    <w:rsid w:val="5384240B"/>
    <w:rsid w:val="53856324"/>
    <w:rsid w:val="538A257C"/>
    <w:rsid w:val="538E2624"/>
    <w:rsid w:val="53916D90"/>
    <w:rsid w:val="53922B24"/>
    <w:rsid w:val="53931229"/>
    <w:rsid w:val="539337AC"/>
    <w:rsid w:val="539625C7"/>
    <w:rsid w:val="5396300D"/>
    <w:rsid w:val="53966D85"/>
    <w:rsid w:val="53995037"/>
    <w:rsid w:val="539B27A7"/>
    <w:rsid w:val="53A039CC"/>
    <w:rsid w:val="53A04DB3"/>
    <w:rsid w:val="53A1505A"/>
    <w:rsid w:val="53A66FD1"/>
    <w:rsid w:val="53A771E4"/>
    <w:rsid w:val="53AC29A6"/>
    <w:rsid w:val="53B65CF2"/>
    <w:rsid w:val="53B67427"/>
    <w:rsid w:val="53BF49DF"/>
    <w:rsid w:val="53C5235F"/>
    <w:rsid w:val="53C54E71"/>
    <w:rsid w:val="53C658BC"/>
    <w:rsid w:val="53C71634"/>
    <w:rsid w:val="53C805EA"/>
    <w:rsid w:val="53CA239E"/>
    <w:rsid w:val="53CA2688"/>
    <w:rsid w:val="53CD3BD2"/>
    <w:rsid w:val="53D0673A"/>
    <w:rsid w:val="53D16058"/>
    <w:rsid w:val="53D775CD"/>
    <w:rsid w:val="53DA3D2F"/>
    <w:rsid w:val="53DC50DF"/>
    <w:rsid w:val="53DF24DA"/>
    <w:rsid w:val="53E04287"/>
    <w:rsid w:val="53E05A21"/>
    <w:rsid w:val="53E21A66"/>
    <w:rsid w:val="53E3377E"/>
    <w:rsid w:val="53E50E28"/>
    <w:rsid w:val="53E92121"/>
    <w:rsid w:val="53EB1A31"/>
    <w:rsid w:val="53EB3C56"/>
    <w:rsid w:val="53EC2E48"/>
    <w:rsid w:val="53ED07AB"/>
    <w:rsid w:val="53ED479A"/>
    <w:rsid w:val="53F32B67"/>
    <w:rsid w:val="53F41333"/>
    <w:rsid w:val="53F5116A"/>
    <w:rsid w:val="53F5249F"/>
    <w:rsid w:val="53F55F25"/>
    <w:rsid w:val="5402441A"/>
    <w:rsid w:val="54051BA9"/>
    <w:rsid w:val="540572E0"/>
    <w:rsid w:val="540637AC"/>
    <w:rsid w:val="54063E08"/>
    <w:rsid w:val="54085FBC"/>
    <w:rsid w:val="540B668C"/>
    <w:rsid w:val="540C64D4"/>
    <w:rsid w:val="540E20F8"/>
    <w:rsid w:val="540E7263"/>
    <w:rsid w:val="54137616"/>
    <w:rsid w:val="541C1980"/>
    <w:rsid w:val="541D74A6"/>
    <w:rsid w:val="54210D44"/>
    <w:rsid w:val="5422686A"/>
    <w:rsid w:val="542677A8"/>
    <w:rsid w:val="54280325"/>
    <w:rsid w:val="5429456A"/>
    <w:rsid w:val="54295E4B"/>
    <w:rsid w:val="542D36A0"/>
    <w:rsid w:val="542E16B3"/>
    <w:rsid w:val="54302D35"/>
    <w:rsid w:val="54331D94"/>
    <w:rsid w:val="543437E8"/>
    <w:rsid w:val="5435197F"/>
    <w:rsid w:val="54396996"/>
    <w:rsid w:val="543F11CA"/>
    <w:rsid w:val="54400EF2"/>
    <w:rsid w:val="54404360"/>
    <w:rsid w:val="544068A3"/>
    <w:rsid w:val="544168C8"/>
    <w:rsid w:val="54436C12"/>
    <w:rsid w:val="54443BCF"/>
    <w:rsid w:val="54460374"/>
    <w:rsid w:val="54482B71"/>
    <w:rsid w:val="54495ADD"/>
    <w:rsid w:val="544C066C"/>
    <w:rsid w:val="544D38E7"/>
    <w:rsid w:val="544D7D8B"/>
    <w:rsid w:val="544F668B"/>
    <w:rsid w:val="54527041"/>
    <w:rsid w:val="5452714F"/>
    <w:rsid w:val="545324F3"/>
    <w:rsid w:val="54575FFA"/>
    <w:rsid w:val="545C575E"/>
    <w:rsid w:val="545E031E"/>
    <w:rsid w:val="545F17CC"/>
    <w:rsid w:val="546C2A16"/>
    <w:rsid w:val="546D7E38"/>
    <w:rsid w:val="546E760A"/>
    <w:rsid w:val="547075D6"/>
    <w:rsid w:val="547277F2"/>
    <w:rsid w:val="547A0895"/>
    <w:rsid w:val="547A25A2"/>
    <w:rsid w:val="547A493E"/>
    <w:rsid w:val="547D2694"/>
    <w:rsid w:val="548062A4"/>
    <w:rsid w:val="54813231"/>
    <w:rsid w:val="54813591"/>
    <w:rsid w:val="548239A6"/>
    <w:rsid w:val="54836215"/>
    <w:rsid w:val="548768C6"/>
    <w:rsid w:val="548A0D12"/>
    <w:rsid w:val="548A4B3B"/>
    <w:rsid w:val="548B08B3"/>
    <w:rsid w:val="548C2273"/>
    <w:rsid w:val="548D2F93"/>
    <w:rsid w:val="548D4350"/>
    <w:rsid w:val="548E5CAE"/>
    <w:rsid w:val="54901EB7"/>
    <w:rsid w:val="54912459"/>
    <w:rsid w:val="54921059"/>
    <w:rsid w:val="549A0AF6"/>
    <w:rsid w:val="549F173E"/>
    <w:rsid w:val="54A159E1"/>
    <w:rsid w:val="54A61BE5"/>
    <w:rsid w:val="54A71BB8"/>
    <w:rsid w:val="54A76333"/>
    <w:rsid w:val="54A86D6F"/>
    <w:rsid w:val="54A9085B"/>
    <w:rsid w:val="54A975D3"/>
    <w:rsid w:val="54AB1F55"/>
    <w:rsid w:val="54AC059B"/>
    <w:rsid w:val="54B02D89"/>
    <w:rsid w:val="54B24092"/>
    <w:rsid w:val="54B30279"/>
    <w:rsid w:val="54B440ED"/>
    <w:rsid w:val="54B51CD1"/>
    <w:rsid w:val="54B722A9"/>
    <w:rsid w:val="54B870ED"/>
    <w:rsid w:val="54BB03F8"/>
    <w:rsid w:val="54BE47E5"/>
    <w:rsid w:val="54BF54F4"/>
    <w:rsid w:val="54C17E31"/>
    <w:rsid w:val="54C94F38"/>
    <w:rsid w:val="54CB0CB0"/>
    <w:rsid w:val="54CD67D6"/>
    <w:rsid w:val="54CD6F4E"/>
    <w:rsid w:val="54CE49AA"/>
    <w:rsid w:val="54D16717"/>
    <w:rsid w:val="54D2203E"/>
    <w:rsid w:val="54D26F8B"/>
    <w:rsid w:val="54D36F0C"/>
    <w:rsid w:val="54D4350C"/>
    <w:rsid w:val="54D67D81"/>
    <w:rsid w:val="54D876F3"/>
    <w:rsid w:val="54DA01DA"/>
    <w:rsid w:val="54DA0EF3"/>
    <w:rsid w:val="54DC07DE"/>
    <w:rsid w:val="54E123C2"/>
    <w:rsid w:val="54E22C26"/>
    <w:rsid w:val="54E35FFA"/>
    <w:rsid w:val="54E5124C"/>
    <w:rsid w:val="54E7616B"/>
    <w:rsid w:val="54E8429C"/>
    <w:rsid w:val="54E906A3"/>
    <w:rsid w:val="54E97047"/>
    <w:rsid w:val="54EA48FA"/>
    <w:rsid w:val="54EC22CB"/>
    <w:rsid w:val="54F04FD7"/>
    <w:rsid w:val="54F14BBA"/>
    <w:rsid w:val="54F5720B"/>
    <w:rsid w:val="54F66586"/>
    <w:rsid w:val="54F73313"/>
    <w:rsid w:val="54F80955"/>
    <w:rsid w:val="54FA45B8"/>
    <w:rsid w:val="54FC414F"/>
    <w:rsid w:val="54FC789B"/>
    <w:rsid w:val="54FF4546"/>
    <w:rsid w:val="55077D40"/>
    <w:rsid w:val="55081F04"/>
    <w:rsid w:val="550D6174"/>
    <w:rsid w:val="55117456"/>
    <w:rsid w:val="55147C7A"/>
    <w:rsid w:val="55160E9E"/>
    <w:rsid w:val="55161699"/>
    <w:rsid w:val="55175CA3"/>
    <w:rsid w:val="551936FB"/>
    <w:rsid w:val="55197C93"/>
    <w:rsid w:val="551A4038"/>
    <w:rsid w:val="551F6110"/>
    <w:rsid w:val="55245D2F"/>
    <w:rsid w:val="55262B69"/>
    <w:rsid w:val="552E6A41"/>
    <w:rsid w:val="55314781"/>
    <w:rsid w:val="5531666A"/>
    <w:rsid w:val="55330C87"/>
    <w:rsid w:val="55345162"/>
    <w:rsid w:val="553920BD"/>
    <w:rsid w:val="553A7B5E"/>
    <w:rsid w:val="553C32D5"/>
    <w:rsid w:val="553D7E00"/>
    <w:rsid w:val="553F08C5"/>
    <w:rsid w:val="55430610"/>
    <w:rsid w:val="55450A62"/>
    <w:rsid w:val="554640A9"/>
    <w:rsid w:val="554A02A0"/>
    <w:rsid w:val="554A6079"/>
    <w:rsid w:val="554C4122"/>
    <w:rsid w:val="554C435C"/>
    <w:rsid w:val="554D1ED9"/>
    <w:rsid w:val="55501AC3"/>
    <w:rsid w:val="555170A7"/>
    <w:rsid w:val="55560EC1"/>
    <w:rsid w:val="55564A1D"/>
    <w:rsid w:val="555A14B3"/>
    <w:rsid w:val="555A70E2"/>
    <w:rsid w:val="555B0286"/>
    <w:rsid w:val="555B26F2"/>
    <w:rsid w:val="555D73F4"/>
    <w:rsid w:val="555E23CC"/>
    <w:rsid w:val="5560589C"/>
    <w:rsid w:val="55630BB3"/>
    <w:rsid w:val="55640E79"/>
    <w:rsid w:val="5565304A"/>
    <w:rsid w:val="55676C2B"/>
    <w:rsid w:val="55684751"/>
    <w:rsid w:val="556969E5"/>
    <w:rsid w:val="556D179B"/>
    <w:rsid w:val="556F4103"/>
    <w:rsid w:val="55703A57"/>
    <w:rsid w:val="55760C1C"/>
    <w:rsid w:val="55765F98"/>
    <w:rsid w:val="55782698"/>
    <w:rsid w:val="55782BE6"/>
    <w:rsid w:val="557B0D24"/>
    <w:rsid w:val="557C2132"/>
    <w:rsid w:val="557F287D"/>
    <w:rsid w:val="55801A9A"/>
    <w:rsid w:val="55804011"/>
    <w:rsid w:val="55834F0E"/>
    <w:rsid w:val="55853555"/>
    <w:rsid w:val="55855303"/>
    <w:rsid w:val="5585557B"/>
    <w:rsid w:val="55862A4A"/>
    <w:rsid w:val="5587107B"/>
    <w:rsid w:val="558725A8"/>
    <w:rsid w:val="5587536D"/>
    <w:rsid w:val="55875818"/>
    <w:rsid w:val="55893307"/>
    <w:rsid w:val="55894E71"/>
    <w:rsid w:val="558A46C7"/>
    <w:rsid w:val="558C043F"/>
    <w:rsid w:val="558F7F2F"/>
    <w:rsid w:val="559105A9"/>
    <w:rsid w:val="55992B5C"/>
    <w:rsid w:val="559A1F36"/>
    <w:rsid w:val="559B174B"/>
    <w:rsid w:val="559B2D78"/>
    <w:rsid w:val="55A20747"/>
    <w:rsid w:val="55A27F48"/>
    <w:rsid w:val="55A61F25"/>
    <w:rsid w:val="55A62DFB"/>
    <w:rsid w:val="55A71C79"/>
    <w:rsid w:val="55A73262"/>
    <w:rsid w:val="55A737D5"/>
    <w:rsid w:val="55A82D9F"/>
    <w:rsid w:val="55A84821"/>
    <w:rsid w:val="55A90FF1"/>
    <w:rsid w:val="55A97406"/>
    <w:rsid w:val="55AB3BAD"/>
    <w:rsid w:val="55AE4859"/>
    <w:rsid w:val="55B413F1"/>
    <w:rsid w:val="55B44B2F"/>
    <w:rsid w:val="55B60321"/>
    <w:rsid w:val="55B654BC"/>
    <w:rsid w:val="55BA7D23"/>
    <w:rsid w:val="55BD7CA4"/>
    <w:rsid w:val="55BF0815"/>
    <w:rsid w:val="55C01586"/>
    <w:rsid w:val="55C061A9"/>
    <w:rsid w:val="55C162D2"/>
    <w:rsid w:val="55C27EDD"/>
    <w:rsid w:val="55C4632E"/>
    <w:rsid w:val="55C52144"/>
    <w:rsid w:val="55C61F45"/>
    <w:rsid w:val="55C64509"/>
    <w:rsid w:val="55C94ECA"/>
    <w:rsid w:val="55CA028C"/>
    <w:rsid w:val="55CE0CF4"/>
    <w:rsid w:val="55D3270F"/>
    <w:rsid w:val="55D818D6"/>
    <w:rsid w:val="55DA0564"/>
    <w:rsid w:val="55DB3175"/>
    <w:rsid w:val="55DB72E2"/>
    <w:rsid w:val="55DF3F3E"/>
    <w:rsid w:val="55E06161"/>
    <w:rsid w:val="55E25A53"/>
    <w:rsid w:val="55E26C7E"/>
    <w:rsid w:val="55E363D5"/>
    <w:rsid w:val="55E40FCB"/>
    <w:rsid w:val="55E42029"/>
    <w:rsid w:val="55E538E1"/>
    <w:rsid w:val="55E71B19"/>
    <w:rsid w:val="55E97640"/>
    <w:rsid w:val="55E97E1A"/>
    <w:rsid w:val="55EC5266"/>
    <w:rsid w:val="55EF7B82"/>
    <w:rsid w:val="55F20514"/>
    <w:rsid w:val="55F36710"/>
    <w:rsid w:val="55F44906"/>
    <w:rsid w:val="55F83A1D"/>
    <w:rsid w:val="55F84612"/>
    <w:rsid w:val="55FB3F3D"/>
    <w:rsid w:val="55FD1E68"/>
    <w:rsid w:val="55FD41E5"/>
    <w:rsid w:val="55FE71D4"/>
    <w:rsid w:val="55FF3307"/>
    <w:rsid w:val="56010E2D"/>
    <w:rsid w:val="56024E9F"/>
    <w:rsid w:val="56040F00"/>
    <w:rsid w:val="56066443"/>
    <w:rsid w:val="560D5B1A"/>
    <w:rsid w:val="560E354A"/>
    <w:rsid w:val="560E52F8"/>
    <w:rsid w:val="561074A3"/>
    <w:rsid w:val="56116B96"/>
    <w:rsid w:val="5612205D"/>
    <w:rsid w:val="56151599"/>
    <w:rsid w:val="56156687"/>
    <w:rsid w:val="56245542"/>
    <w:rsid w:val="56263DE0"/>
    <w:rsid w:val="56270168"/>
    <w:rsid w:val="562A7D21"/>
    <w:rsid w:val="562B2AD9"/>
    <w:rsid w:val="562B40FC"/>
    <w:rsid w:val="562E599A"/>
    <w:rsid w:val="562F13F2"/>
    <w:rsid w:val="563229B5"/>
    <w:rsid w:val="56327239"/>
    <w:rsid w:val="56327DE5"/>
    <w:rsid w:val="56334D5F"/>
    <w:rsid w:val="56350EFB"/>
    <w:rsid w:val="56356D29"/>
    <w:rsid w:val="56365413"/>
    <w:rsid w:val="56371DB7"/>
    <w:rsid w:val="56382375"/>
    <w:rsid w:val="563B3AD5"/>
    <w:rsid w:val="563E3B33"/>
    <w:rsid w:val="563F05B3"/>
    <w:rsid w:val="56400C48"/>
    <w:rsid w:val="56404134"/>
    <w:rsid w:val="56412529"/>
    <w:rsid w:val="56433670"/>
    <w:rsid w:val="564560E1"/>
    <w:rsid w:val="564A36AA"/>
    <w:rsid w:val="564A392F"/>
    <w:rsid w:val="564A3E0F"/>
    <w:rsid w:val="564E0BD6"/>
    <w:rsid w:val="564E6DBD"/>
    <w:rsid w:val="56513437"/>
    <w:rsid w:val="5656389C"/>
    <w:rsid w:val="565674C3"/>
    <w:rsid w:val="56582E90"/>
    <w:rsid w:val="56594B32"/>
    <w:rsid w:val="565C1FC8"/>
    <w:rsid w:val="565C6063"/>
    <w:rsid w:val="565F0AC5"/>
    <w:rsid w:val="565F5B54"/>
    <w:rsid w:val="56603B73"/>
    <w:rsid w:val="56672915"/>
    <w:rsid w:val="56680EAC"/>
    <w:rsid w:val="56685490"/>
    <w:rsid w:val="5669525F"/>
    <w:rsid w:val="566B03C0"/>
    <w:rsid w:val="566B44F9"/>
    <w:rsid w:val="566D4E1F"/>
    <w:rsid w:val="566D6B7D"/>
    <w:rsid w:val="566E5F5F"/>
    <w:rsid w:val="566E61BE"/>
    <w:rsid w:val="56700DF8"/>
    <w:rsid w:val="56755DAE"/>
    <w:rsid w:val="56763C45"/>
    <w:rsid w:val="567643FA"/>
    <w:rsid w:val="56772E9D"/>
    <w:rsid w:val="56794E67"/>
    <w:rsid w:val="567959C0"/>
    <w:rsid w:val="567A0BDF"/>
    <w:rsid w:val="567B1F2B"/>
    <w:rsid w:val="567B399F"/>
    <w:rsid w:val="567B5530"/>
    <w:rsid w:val="567C0CDB"/>
    <w:rsid w:val="567C4300"/>
    <w:rsid w:val="567F61F6"/>
    <w:rsid w:val="56822CDF"/>
    <w:rsid w:val="56835CE6"/>
    <w:rsid w:val="56894DF9"/>
    <w:rsid w:val="568A4A2C"/>
    <w:rsid w:val="568C1B33"/>
    <w:rsid w:val="568D446F"/>
    <w:rsid w:val="568E0533"/>
    <w:rsid w:val="5690375C"/>
    <w:rsid w:val="56927905"/>
    <w:rsid w:val="56927CD7"/>
    <w:rsid w:val="56941CA1"/>
    <w:rsid w:val="56942869"/>
    <w:rsid w:val="56965C3A"/>
    <w:rsid w:val="56970298"/>
    <w:rsid w:val="56973672"/>
    <w:rsid w:val="569A0A26"/>
    <w:rsid w:val="569A0F0F"/>
    <w:rsid w:val="569B74E4"/>
    <w:rsid w:val="569D20A2"/>
    <w:rsid w:val="56A60AA8"/>
    <w:rsid w:val="56AB2090"/>
    <w:rsid w:val="56AB6E02"/>
    <w:rsid w:val="56AC5E97"/>
    <w:rsid w:val="56AD7230"/>
    <w:rsid w:val="56B13E22"/>
    <w:rsid w:val="56B22A9C"/>
    <w:rsid w:val="56B444E1"/>
    <w:rsid w:val="56B45E9F"/>
    <w:rsid w:val="56B51C18"/>
    <w:rsid w:val="56B814E9"/>
    <w:rsid w:val="56C52661"/>
    <w:rsid w:val="56C715FB"/>
    <w:rsid w:val="56C83E4F"/>
    <w:rsid w:val="56C87B9D"/>
    <w:rsid w:val="56D07DCB"/>
    <w:rsid w:val="56D272D2"/>
    <w:rsid w:val="56D46542"/>
    <w:rsid w:val="56D47C94"/>
    <w:rsid w:val="56D55E16"/>
    <w:rsid w:val="56D57BC4"/>
    <w:rsid w:val="56D71B8E"/>
    <w:rsid w:val="56DF0211"/>
    <w:rsid w:val="56E04EE6"/>
    <w:rsid w:val="56E11251"/>
    <w:rsid w:val="56E230E9"/>
    <w:rsid w:val="56E322E1"/>
    <w:rsid w:val="56E33F90"/>
    <w:rsid w:val="56E46808"/>
    <w:rsid w:val="56E83D9B"/>
    <w:rsid w:val="56E878F7"/>
    <w:rsid w:val="56EB73E7"/>
    <w:rsid w:val="56EB7AA6"/>
    <w:rsid w:val="56EF512A"/>
    <w:rsid w:val="56F129C9"/>
    <w:rsid w:val="56F2295E"/>
    <w:rsid w:val="56F24C1A"/>
    <w:rsid w:val="56F404DC"/>
    <w:rsid w:val="56F42F69"/>
    <w:rsid w:val="56F73FDE"/>
    <w:rsid w:val="56F82479"/>
    <w:rsid w:val="56F95FA8"/>
    <w:rsid w:val="56FE2C12"/>
    <w:rsid w:val="570060D8"/>
    <w:rsid w:val="57016C0B"/>
    <w:rsid w:val="570376BF"/>
    <w:rsid w:val="57043DC2"/>
    <w:rsid w:val="57062D35"/>
    <w:rsid w:val="57076E50"/>
    <w:rsid w:val="570D1617"/>
    <w:rsid w:val="570D1A54"/>
    <w:rsid w:val="570D55B0"/>
    <w:rsid w:val="570F3143"/>
    <w:rsid w:val="57106E4E"/>
    <w:rsid w:val="57115B7E"/>
    <w:rsid w:val="57116C89"/>
    <w:rsid w:val="57137A32"/>
    <w:rsid w:val="57141E54"/>
    <w:rsid w:val="57164F61"/>
    <w:rsid w:val="57182F0B"/>
    <w:rsid w:val="571853CC"/>
    <w:rsid w:val="571C34C5"/>
    <w:rsid w:val="571C3A45"/>
    <w:rsid w:val="572052E3"/>
    <w:rsid w:val="5720597B"/>
    <w:rsid w:val="5722691A"/>
    <w:rsid w:val="5723456E"/>
    <w:rsid w:val="57284198"/>
    <w:rsid w:val="57296DDF"/>
    <w:rsid w:val="572B6C77"/>
    <w:rsid w:val="572E4360"/>
    <w:rsid w:val="57340D8E"/>
    <w:rsid w:val="573650F1"/>
    <w:rsid w:val="57383459"/>
    <w:rsid w:val="57394D8A"/>
    <w:rsid w:val="573A16AF"/>
    <w:rsid w:val="573C00D4"/>
    <w:rsid w:val="573C520F"/>
    <w:rsid w:val="573D5025"/>
    <w:rsid w:val="573E5CFD"/>
    <w:rsid w:val="573F442A"/>
    <w:rsid w:val="574136C7"/>
    <w:rsid w:val="57430FD1"/>
    <w:rsid w:val="57450858"/>
    <w:rsid w:val="57454278"/>
    <w:rsid w:val="5747615D"/>
    <w:rsid w:val="574879BD"/>
    <w:rsid w:val="574D00A2"/>
    <w:rsid w:val="574D1E3E"/>
    <w:rsid w:val="57510C2E"/>
    <w:rsid w:val="575136EE"/>
    <w:rsid w:val="57532EF7"/>
    <w:rsid w:val="575741AD"/>
    <w:rsid w:val="57593997"/>
    <w:rsid w:val="575941AC"/>
    <w:rsid w:val="575E22AF"/>
    <w:rsid w:val="576722F4"/>
    <w:rsid w:val="576734AE"/>
    <w:rsid w:val="576866C7"/>
    <w:rsid w:val="576A46B7"/>
    <w:rsid w:val="576F0466"/>
    <w:rsid w:val="57710EBA"/>
    <w:rsid w:val="577442F3"/>
    <w:rsid w:val="57747424"/>
    <w:rsid w:val="5774754E"/>
    <w:rsid w:val="577A2463"/>
    <w:rsid w:val="577A7327"/>
    <w:rsid w:val="577B04CF"/>
    <w:rsid w:val="577B69BD"/>
    <w:rsid w:val="577D2735"/>
    <w:rsid w:val="577E025B"/>
    <w:rsid w:val="577E6A3F"/>
    <w:rsid w:val="57802226"/>
    <w:rsid w:val="57814D7E"/>
    <w:rsid w:val="57822BF9"/>
    <w:rsid w:val="57825C65"/>
    <w:rsid w:val="57833AC4"/>
    <w:rsid w:val="57842B4B"/>
    <w:rsid w:val="578515EA"/>
    <w:rsid w:val="57897911"/>
    <w:rsid w:val="578B0C47"/>
    <w:rsid w:val="578C77C8"/>
    <w:rsid w:val="578E4942"/>
    <w:rsid w:val="578F4217"/>
    <w:rsid w:val="579730CB"/>
    <w:rsid w:val="57995095"/>
    <w:rsid w:val="579A0851"/>
    <w:rsid w:val="579B6BCF"/>
    <w:rsid w:val="579F6C6B"/>
    <w:rsid w:val="579F6F85"/>
    <w:rsid w:val="57A35F14"/>
    <w:rsid w:val="57A361A6"/>
    <w:rsid w:val="57A47FC2"/>
    <w:rsid w:val="57A56124"/>
    <w:rsid w:val="57A75DE1"/>
    <w:rsid w:val="57A87EE6"/>
    <w:rsid w:val="57AB4E91"/>
    <w:rsid w:val="57AB5190"/>
    <w:rsid w:val="57AC2EB5"/>
    <w:rsid w:val="57AE219A"/>
    <w:rsid w:val="57AF6667"/>
    <w:rsid w:val="57B0653E"/>
    <w:rsid w:val="57B15632"/>
    <w:rsid w:val="57B55DE7"/>
    <w:rsid w:val="57B63E99"/>
    <w:rsid w:val="57B72A76"/>
    <w:rsid w:val="57BD4940"/>
    <w:rsid w:val="57C23383"/>
    <w:rsid w:val="57C3426C"/>
    <w:rsid w:val="57C54D8F"/>
    <w:rsid w:val="57C749EC"/>
    <w:rsid w:val="57C91BAB"/>
    <w:rsid w:val="57C9470F"/>
    <w:rsid w:val="57C9751B"/>
    <w:rsid w:val="57CB4401"/>
    <w:rsid w:val="57CD7AFC"/>
    <w:rsid w:val="57CE1F93"/>
    <w:rsid w:val="57CE6D3C"/>
    <w:rsid w:val="57CF29AF"/>
    <w:rsid w:val="57D11007"/>
    <w:rsid w:val="57D50BA1"/>
    <w:rsid w:val="57D60BF2"/>
    <w:rsid w:val="57DB15D9"/>
    <w:rsid w:val="57DB39FA"/>
    <w:rsid w:val="57DB745C"/>
    <w:rsid w:val="57DC3499"/>
    <w:rsid w:val="57E00F16"/>
    <w:rsid w:val="57E82206"/>
    <w:rsid w:val="57E83927"/>
    <w:rsid w:val="57EC6B0D"/>
    <w:rsid w:val="57EE3D65"/>
    <w:rsid w:val="57F01932"/>
    <w:rsid w:val="57F30C49"/>
    <w:rsid w:val="57F81DBC"/>
    <w:rsid w:val="57F82E18"/>
    <w:rsid w:val="57FC3FCE"/>
    <w:rsid w:val="57FF4B3C"/>
    <w:rsid w:val="57FF58B9"/>
    <w:rsid w:val="57FF75EE"/>
    <w:rsid w:val="58003366"/>
    <w:rsid w:val="5800716C"/>
    <w:rsid w:val="5802221E"/>
    <w:rsid w:val="5802520F"/>
    <w:rsid w:val="58043224"/>
    <w:rsid w:val="580F5E35"/>
    <w:rsid w:val="58121C0A"/>
    <w:rsid w:val="58152421"/>
    <w:rsid w:val="581D0AD9"/>
    <w:rsid w:val="581D7C2B"/>
    <w:rsid w:val="581E1F24"/>
    <w:rsid w:val="58226E39"/>
    <w:rsid w:val="58256BEF"/>
    <w:rsid w:val="5828150C"/>
    <w:rsid w:val="58296419"/>
    <w:rsid w:val="582A3970"/>
    <w:rsid w:val="582D3056"/>
    <w:rsid w:val="582E1C82"/>
    <w:rsid w:val="583059FA"/>
    <w:rsid w:val="583152CE"/>
    <w:rsid w:val="58334E8E"/>
    <w:rsid w:val="58347AD0"/>
    <w:rsid w:val="58372FCF"/>
    <w:rsid w:val="583B3622"/>
    <w:rsid w:val="583C151B"/>
    <w:rsid w:val="583C20F1"/>
    <w:rsid w:val="58405868"/>
    <w:rsid w:val="58406CFB"/>
    <w:rsid w:val="584077DE"/>
    <w:rsid w:val="58410175"/>
    <w:rsid w:val="584357AA"/>
    <w:rsid w:val="58437890"/>
    <w:rsid w:val="5844688C"/>
    <w:rsid w:val="584A3EE6"/>
    <w:rsid w:val="584C2108"/>
    <w:rsid w:val="584C587A"/>
    <w:rsid w:val="584D73D1"/>
    <w:rsid w:val="584E2426"/>
    <w:rsid w:val="5851771E"/>
    <w:rsid w:val="58535244"/>
    <w:rsid w:val="58555460"/>
    <w:rsid w:val="585711D8"/>
    <w:rsid w:val="58575D94"/>
    <w:rsid w:val="58586CFE"/>
    <w:rsid w:val="585C5024"/>
    <w:rsid w:val="585E02AE"/>
    <w:rsid w:val="585E4277"/>
    <w:rsid w:val="585F735D"/>
    <w:rsid w:val="58611AD5"/>
    <w:rsid w:val="5862192B"/>
    <w:rsid w:val="5863594C"/>
    <w:rsid w:val="58676538"/>
    <w:rsid w:val="58690E3A"/>
    <w:rsid w:val="586910EE"/>
    <w:rsid w:val="586B1CB3"/>
    <w:rsid w:val="586C160C"/>
    <w:rsid w:val="586E02D0"/>
    <w:rsid w:val="5873461E"/>
    <w:rsid w:val="58747986"/>
    <w:rsid w:val="587578B0"/>
    <w:rsid w:val="58782EFD"/>
    <w:rsid w:val="587866AB"/>
    <w:rsid w:val="587C0E54"/>
    <w:rsid w:val="587D0513"/>
    <w:rsid w:val="587D37C5"/>
    <w:rsid w:val="587D49B7"/>
    <w:rsid w:val="587E690C"/>
    <w:rsid w:val="58810003"/>
    <w:rsid w:val="588249E4"/>
    <w:rsid w:val="58836056"/>
    <w:rsid w:val="58855A0B"/>
    <w:rsid w:val="58871392"/>
    <w:rsid w:val="588743D1"/>
    <w:rsid w:val="5887460C"/>
    <w:rsid w:val="5887701A"/>
    <w:rsid w:val="588E44CE"/>
    <w:rsid w:val="58915902"/>
    <w:rsid w:val="58922210"/>
    <w:rsid w:val="58937CE9"/>
    <w:rsid w:val="589A4E07"/>
    <w:rsid w:val="589C09AA"/>
    <w:rsid w:val="589D6DA8"/>
    <w:rsid w:val="58A12ADE"/>
    <w:rsid w:val="58A3650F"/>
    <w:rsid w:val="58A40196"/>
    <w:rsid w:val="58A407B1"/>
    <w:rsid w:val="58A50BD3"/>
    <w:rsid w:val="58A85BC8"/>
    <w:rsid w:val="58AF6FAC"/>
    <w:rsid w:val="58B2640F"/>
    <w:rsid w:val="58B36258"/>
    <w:rsid w:val="58B61A02"/>
    <w:rsid w:val="58BA52C3"/>
    <w:rsid w:val="58BA7233"/>
    <w:rsid w:val="58C15DBE"/>
    <w:rsid w:val="58C425E6"/>
    <w:rsid w:val="58C47EF0"/>
    <w:rsid w:val="58C72EA7"/>
    <w:rsid w:val="58C779E0"/>
    <w:rsid w:val="58C93CB9"/>
    <w:rsid w:val="58D1300F"/>
    <w:rsid w:val="58D2260D"/>
    <w:rsid w:val="58D33CB6"/>
    <w:rsid w:val="58DA7713"/>
    <w:rsid w:val="58DC3E1D"/>
    <w:rsid w:val="58DD5326"/>
    <w:rsid w:val="58DE200A"/>
    <w:rsid w:val="58DE5456"/>
    <w:rsid w:val="58DE7204"/>
    <w:rsid w:val="58DF4D2A"/>
    <w:rsid w:val="58E04391"/>
    <w:rsid w:val="58E10AA2"/>
    <w:rsid w:val="58E40592"/>
    <w:rsid w:val="58E862D4"/>
    <w:rsid w:val="58E900B1"/>
    <w:rsid w:val="58EA179E"/>
    <w:rsid w:val="58EA71FA"/>
    <w:rsid w:val="58EB1921"/>
    <w:rsid w:val="58EC3F79"/>
    <w:rsid w:val="58EF7663"/>
    <w:rsid w:val="58F17243"/>
    <w:rsid w:val="58F235E1"/>
    <w:rsid w:val="58F339BF"/>
    <w:rsid w:val="58F51065"/>
    <w:rsid w:val="58F5125F"/>
    <w:rsid w:val="58F72073"/>
    <w:rsid w:val="58F77BCF"/>
    <w:rsid w:val="58F85DEC"/>
    <w:rsid w:val="58F9524E"/>
    <w:rsid w:val="58FD3402"/>
    <w:rsid w:val="58FE045E"/>
    <w:rsid w:val="59050C34"/>
    <w:rsid w:val="5906496F"/>
    <w:rsid w:val="590649AC"/>
    <w:rsid w:val="59072A91"/>
    <w:rsid w:val="590915DA"/>
    <w:rsid w:val="59097FF9"/>
    <w:rsid w:val="59101387"/>
    <w:rsid w:val="59112915"/>
    <w:rsid w:val="591361CC"/>
    <w:rsid w:val="59140E77"/>
    <w:rsid w:val="591719B1"/>
    <w:rsid w:val="591B1910"/>
    <w:rsid w:val="591E00BC"/>
    <w:rsid w:val="591F781C"/>
    <w:rsid w:val="5921052C"/>
    <w:rsid w:val="59226592"/>
    <w:rsid w:val="592327AC"/>
    <w:rsid w:val="59233F27"/>
    <w:rsid w:val="59253B51"/>
    <w:rsid w:val="5928268B"/>
    <w:rsid w:val="592866D1"/>
    <w:rsid w:val="592941F7"/>
    <w:rsid w:val="592B6B05"/>
    <w:rsid w:val="5932646D"/>
    <w:rsid w:val="5935124D"/>
    <w:rsid w:val="59351CF1"/>
    <w:rsid w:val="5936485B"/>
    <w:rsid w:val="59367040"/>
    <w:rsid w:val="593B22AE"/>
    <w:rsid w:val="59401C6C"/>
    <w:rsid w:val="5940404C"/>
    <w:rsid w:val="594151E3"/>
    <w:rsid w:val="59417793"/>
    <w:rsid w:val="59420000"/>
    <w:rsid w:val="594413D8"/>
    <w:rsid w:val="59456529"/>
    <w:rsid w:val="59460898"/>
    <w:rsid w:val="594A2024"/>
    <w:rsid w:val="594A5ABB"/>
    <w:rsid w:val="595210EF"/>
    <w:rsid w:val="595354F9"/>
    <w:rsid w:val="595571CA"/>
    <w:rsid w:val="59594ADC"/>
    <w:rsid w:val="595E2BD7"/>
    <w:rsid w:val="5960230F"/>
    <w:rsid w:val="59631977"/>
    <w:rsid w:val="59637709"/>
    <w:rsid w:val="596953BE"/>
    <w:rsid w:val="596C51E4"/>
    <w:rsid w:val="596F459C"/>
    <w:rsid w:val="59710078"/>
    <w:rsid w:val="59744BDE"/>
    <w:rsid w:val="59757A51"/>
    <w:rsid w:val="597706D3"/>
    <w:rsid w:val="5977720E"/>
    <w:rsid w:val="597933D0"/>
    <w:rsid w:val="59796F2C"/>
    <w:rsid w:val="597C4596"/>
    <w:rsid w:val="597E09E7"/>
    <w:rsid w:val="598002BB"/>
    <w:rsid w:val="59815163"/>
    <w:rsid w:val="59831B59"/>
    <w:rsid w:val="5983355D"/>
    <w:rsid w:val="598426F3"/>
    <w:rsid w:val="598A738C"/>
    <w:rsid w:val="598F04FE"/>
    <w:rsid w:val="598F3DE4"/>
    <w:rsid w:val="599468E0"/>
    <w:rsid w:val="599718D2"/>
    <w:rsid w:val="599837F3"/>
    <w:rsid w:val="599B50F5"/>
    <w:rsid w:val="599D40BF"/>
    <w:rsid w:val="599D695C"/>
    <w:rsid w:val="59A0270B"/>
    <w:rsid w:val="59A1611D"/>
    <w:rsid w:val="59A3044D"/>
    <w:rsid w:val="59A53821"/>
    <w:rsid w:val="59A76EBC"/>
    <w:rsid w:val="59A80FF1"/>
    <w:rsid w:val="59A85A64"/>
    <w:rsid w:val="59A92818"/>
    <w:rsid w:val="59AD59C0"/>
    <w:rsid w:val="59B03CE5"/>
    <w:rsid w:val="59B15C12"/>
    <w:rsid w:val="59B33EED"/>
    <w:rsid w:val="59B34E1B"/>
    <w:rsid w:val="59B65CEA"/>
    <w:rsid w:val="59B9557B"/>
    <w:rsid w:val="59BA6181"/>
    <w:rsid w:val="59BB12F3"/>
    <w:rsid w:val="59BB3CE7"/>
    <w:rsid w:val="59BB7545"/>
    <w:rsid w:val="59BD4057"/>
    <w:rsid w:val="59BE56EB"/>
    <w:rsid w:val="59BF10C1"/>
    <w:rsid w:val="59C0439F"/>
    <w:rsid w:val="59C228DA"/>
    <w:rsid w:val="59C606AB"/>
    <w:rsid w:val="59C638D3"/>
    <w:rsid w:val="59CA1B47"/>
    <w:rsid w:val="59CB0919"/>
    <w:rsid w:val="59CC43B4"/>
    <w:rsid w:val="59CE6A28"/>
    <w:rsid w:val="59CF1242"/>
    <w:rsid w:val="59D23D1B"/>
    <w:rsid w:val="59D627B7"/>
    <w:rsid w:val="59D979CB"/>
    <w:rsid w:val="59DD1D60"/>
    <w:rsid w:val="59E0162B"/>
    <w:rsid w:val="59E05DC1"/>
    <w:rsid w:val="59E2441C"/>
    <w:rsid w:val="59E31F52"/>
    <w:rsid w:val="59E32582"/>
    <w:rsid w:val="59E50BF5"/>
    <w:rsid w:val="59E57BC9"/>
    <w:rsid w:val="59E61667"/>
    <w:rsid w:val="59E62A83"/>
    <w:rsid w:val="59E7059D"/>
    <w:rsid w:val="59E72ADA"/>
    <w:rsid w:val="59E85E60"/>
    <w:rsid w:val="59E9425F"/>
    <w:rsid w:val="59EA1F42"/>
    <w:rsid w:val="59EA33A9"/>
    <w:rsid w:val="59EB0611"/>
    <w:rsid w:val="59F02861"/>
    <w:rsid w:val="59F31AAE"/>
    <w:rsid w:val="59F42A57"/>
    <w:rsid w:val="59F45AD3"/>
    <w:rsid w:val="59F52AF3"/>
    <w:rsid w:val="59F80BCA"/>
    <w:rsid w:val="59F80F77"/>
    <w:rsid w:val="59F975B1"/>
    <w:rsid w:val="59FA60D4"/>
    <w:rsid w:val="59FA7E0D"/>
    <w:rsid w:val="5A0174AA"/>
    <w:rsid w:val="5A0215A1"/>
    <w:rsid w:val="5A0227E9"/>
    <w:rsid w:val="5A0376F4"/>
    <w:rsid w:val="5A052470"/>
    <w:rsid w:val="5A0A4028"/>
    <w:rsid w:val="5A0B1EF1"/>
    <w:rsid w:val="5A0C767B"/>
    <w:rsid w:val="5A1044C2"/>
    <w:rsid w:val="5A1135AB"/>
    <w:rsid w:val="5A124059"/>
    <w:rsid w:val="5A125FCA"/>
    <w:rsid w:val="5A131105"/>
    <w:rsid w:val="5A13112F"/>
    <w:rsid w:val="5A144EA7"/>
    <w:rsid w:val="5A161D9F"/>
    <w:rsid w:val="5A1862E1"/>
    <w:rsid w:val="5A19383E"/>
    <w:rsid w:val="5A1A3151"/>
    <w:rsid w:val="5A1D5A35"/>
    <w:rsid w:val="5A221C13"/>
    <w:rsid w:val="5A2447F3"/>
    <w:rsid w:val="5A2570B4"/>
    <w:rsid w:val="5A274BDA"/>
    <w:rsid w:val="5A2B2BCC"/>
    <w:rsid w:val="5A2E4E87"/>
    <w:rsid w:val="5A3045C4"/>
    <w:rsid w:val="5A31554E"/>
    <w:rsid w:val="5A317807"/>
    <w:rsid w:val="5A333B92"/>
    <w:rsid w:val="5A336735"/>
    <w:rsid w:val="5A3572F7"/>
    <w:rsid w:val="5A380B96"/>
    <w:rsid w:val="5A3A2C05"/>
    <w:rsid w:val="5A3B41BB"/>
    <w:rsid w:val="5A3F6F16"/>
    <w:rsid w:val="5A404538"/>
    <w:rsid w:val="5A435810"/>
    <w:rsid w:val="5A44753A"/>
    <w:rsid w:val="5A45049F"/>
    <w:rsid w:val="5A4A4ED3"/>
    <w:rsid w:val="5A4E03B9"/>
    <w:rsid w:val="5A4E0F8D"/>
    <w:rsid w:val="5A5332F4"/>
    <w:rsid w:val="5A543BD2"/>
    <w:rsid w:val="5A557F9C"/>
    <w:rsid w:val="5A56726E"/>
    <w:rsid w:val="5A584D94"/>
    <w:rsid w:val="5A596E5D"/>
    <w:rsid w:val="5A5A0B0C"/>
    <w:rsid w:val="5A5B2AD6"/>
    <w:rsid w:val="5A605A57"/>
    <w:rsid w:val="5A616B5F"/>
    <w:rsid w:val="5A623555"/>
    <w:rsid w:val="5A623E64"/>
    <w:rsid w:val="5A625C12"/>
    <w:rsid w:val="5A64112E"/>
    <w:rsid w:val="5A662004"/>
    <w:rsid w:val="5A680083"/>
    <w:rsid w:val="5A6A4AC7"/>
    <w:rsid w:val="5A6E6B8A"/>
    <w:rsid w:val="5A785519"/>
    <w:rsid w:val="5A796B77"/>
    <w:rsid w:val="5A7A11AE"/>
    <w:rsid w:val="5A7A2F5C"/>
    <w:rsid w:val="5A7D1769"/>
    <w:rsid w:val="5A7D23BC"/>
    <w:rsid w:val="5A7D391C"/>
    <w:rsid w:val="5A81253D"/>
    <w:rsid w:val="5A8262B5"/>
    <w:rsid w:val="5A826D00"/>
    <w:rsid w:val="5A846212"/>
    <w:rsid w:val="5A855477"/>
    <w:rsid w:val="5A892604"/>
    <w:rsid w:val="5A8A7CF1"/>
    <w:rsid w:val="5A8B4E31"/>
    <w:rsid w:val="5A9164B3"/>
    <w:rsid w:val="5A946B65"/>
    <w:rsid w:val="5A975FA5"/>
    <w:rsid w:val="5A987AD1"/>
    <w:rsid w:val="5A995821"/>
    <w:rsid w:val="5A9A35FE"/>
    <w:rsid w:val="5A9A7A80"/>
    <w:rsid w:val="5A9B74F7"/>
    <w:rsid w:val="5A9D6C4B"/>
    <w:rsid w:val="5A9F7C10"/>
    <w:rsid w:val="5AA004E9"/>
    <w:rsid w:val="5AA21D49"/>
    <w:rsid w:val="5AA410A9"/>
    <w:rsid w:val="5AA61FA3"/>
    <w:rsid w:val="5AA63D51"/>
    <w:rsid w:val="5AA716BD"/>
    <w:rsid w:val="5AA841F2"/>
    <w:rsid w:val="5AAB2121"/>
    <w:rsid w:val="5AAB75B9"/>
    <w:rsid w:val="5AAE2A9A"/>
    <w:rsid w:val="5AB2553A"/>
    <w:rsid w:val="5AB3577D"/>
    <w:rsid w:val="5AB538B9"/>
    <w:rsid w:val="5AB94AC0"/>
    <w:rsid w:val="5ABB2CC0"/>
    <w:rsid w:val="5ABE2233"/>
    <w:rsid w:val="5ABF1F83"/>
    <w:rsid w:val="5AC00150"/>
    <w:rsid w:val="5AC32B55"/>
    <w:rsid w:val="5AC3507B"/>
    <w:rsid w:val="5AC35876"/>
    <w:rsid w:val="5AC5138E"/>
    <w:rsid w:val="5AC52647"/>
    <w:rsid w:val="5AC54C93"/>
    <w:rsid w:val="5AC65A60"/>
    <w:rsid w:val="5ACA5531"/>
    <w:rsid w:val="5ACB4289"/>
    <w:rsid w:val="5ACC12DE"/>
    <w:rsid w:val="5ACC2A35"/>
    <w:rsid w:val="5AD16F71"/>
    <w:rsid w:val="5AD44788"/>
    <w:rsid w:val="5AD62362"/>
    <w:rsid w:val="5AD6787B"/>
    <w:rsid w:val="5AD7241E"/>
    <w:rsid w:val="5AD77683"/>
    <w:rsid w:val="5ADA7E9F"/>
    <w:rsid w:val="5ADB5572"/>
    <w:rsid w:val="5ADC0752"/>
    <w:rsid w:val="5AE41E0A"/>
    <w:rsid w:val="5AE44879"/>
    <w:rsid w:val="5AE64A95"/>
    <w:rsid w:val="5AE651A3"/>
    <w:rsid w:val="5AE76118"/>
    <w:rsid w:val="5AE95B55"/>
    <w:rsid w:val="5AEA3B12"/>
    <w:rsid w:val="5AF02F58"/>
    <w:rsid w:val="5AF2367B"/>
    <w:rsid w:val="5AF46D9E"/>
    <w:rsid w:val="5AFB351A"/>
    <w:rsid w:val="5AFE65E2"/>
    <w:rsid w:val="5AFF16B3"/>
    <w:rsid w:val="5B092532"/>
    <w:rsid w:val="5B0B3AED"/>
    <w:rsid w:val="5B0F33DE"/>
    <w:rsid w:val="5B125EE8"/>
    <w:rsid w:val="5B157842"/>
    <w:rsid w:val="5B173696"/>
    <w:rsid w:val="5B1C2265"/>
    <w:rsid w:val="5B1D7A25"/>
    <w:rsid w:val="5B1E422F"/>
    <w:rsid w:val="5B211E85"/>
    <w:rsid w:val="5B21447F"/>
    <w:rsid w:val="5B2320C9"/>
    <w:rsid w:val="5B2D6220"/>
    <w:rsid w:val="5B2E3D47"/>
    <w:rsid w:val="5B2E5D93"/>
    <w:rsid w:val="5B315716"/>
    <w:rsid w:val="5B330DB9"/>
    <w:rsid w:val="5B361B89"/>
    <w:rsid w:val="5B372BFB"/>
    <w:rsid w:val="5B3732A0"/>
    <w:rsid w:val="5B394BC5"/>
    <w:rsid w:val="5B3C71F2"/>
    <w:rsid w:val="5B3E6CA9"/>
    <w:rsid w:val="5B3F0B30"/>
    <w:rsid w:val="5B4041A6"/>
    <w:rsid w:val="5B412BB3"/>
    <w:rsid w:val="5B484E08"/>
    <w:rsid w:val="5B497D25"/>
    <w:rsid w:val="5B4A2B50"/>
    <w:rsid w:val="5B4A5024"/>
    <w:rsid w:val="5B4D7454"/>
    <w:rsid w:val="5B531562"/>
    <w:rsid w:val="5B5341FE"/>
    <w:rsid w:val="5B540B07"/>
    <w:rsid w:val="5B587323"/>
    <w:rsid w:val="5B5C4D58"/>
    <w:rsid w:val="5B5E462C"/>
    <w:rsid w:val="5B5F55DB"/>
    <w:rsid w:val="5B654E13"/>
    <w:rsid w:val="5B674E7B"/>
    <w:rsid w:val="5B676EEA"/>
    <w:rsid w:val="5B68125D"/>
    <w:rsid w:val="5B6A1223"/>
    <w:rsid w:val="5B6B4F9B"/>
    <w:rsid w:val="5B6E2C2E"/>
    <w:rsid w:val="5B6F63A8"/>
    <w:rsid w:val="5B7551E7"/>
    <w:rsid w:val="5B767BC7"/>
    <w:rsid w:val="5B773217"/>
    <w:rsid w:val="5B7B222E"/>
    <w:rsid w:val="5B7C4AB2"/>
    <w:rsid w:val="5B7E0F08"/>
    <w:rsid w:val="5B7F45A2"/>
    <w:rsid w:val="5B8147BE"/>
    <w:rsid w:val="5B815AF5"/>
    <w:rsid w:val="5B834092"/>
    <w:rsid w:val="5B84177D"/>
    <w:rsid w:val="5B844B2B"/>
    <w:rsid w:val="5B856EE5"/>
    <w:rsid w:val="5B8816A9"/>
    <w:rsid w:val="5B893875"/>
    <w:rsid w:val="5B8B2F47"/>
    <w:rsid w:val="5B8B4DF6"/>
    <w:rsid w:val="5B8D3163"/>
    <w:rsid w:val="5B8E36FB"/>
    <w:rsid w:val="5B8F47E5"/>
    <w:rsid w:val="5B9528D3"/>
    <w:rsid w:val="5B962018"/>
    <w:rsid w:val="5B976A96"/>
    <w:rsid w:val="5B977B3E"/>
    <w:rsid w:val="5B9C3379"/>
    <w:rsid w:val="5B9C6F02"/>
    <w:rsid w:val="5B9D323F"/>
    <w:rsid w:val="5B9D54A6"/>
    <w:rsid w:val="5BA312F1"/>
    <w:rsid w:val="5BA358F1"/>
    <w:rsid w:val="5BA45A04"/>
    <w:rsid w:val="5BA53750"/>
    <w:rsid w:val="5BA96CF6"/>
    <w:rsid w:val="5BAA6A95"/>
    <w:rsid w:val="5BAA7FFD"/>
    <w:rsid w:val="5BAF4E87"/>
    <w:rsid w:val="5BB03E4F"/>
    <w:rsid w:val="5BB7350E"/>
    <w:rsid w:val="5BB73D3C"/>
    <w:rsid w:val="5BBD57F6"/>
    <w:rsid w:val="5BBE50CA"/>
    <w:rsid w:val="5BC03BA6"/>
    <w:rsid w:val="5BC1122C"/>
    <w:rsid w:val="5BC326E1"/>
    <w:rsid w:val="5BC528FD"/>
    <w:rsid w:val="5BC85EC2"/>
    <w:rsid w:val="5BC87CF7"/>
    <w:rsid w:val="5BCC7F23"/>
    <w:rsid w:val="5BCC7FF4"/>
    <w:rsid w:val="5BCE7A03"/>
    <w:rsid w:val="5BCF72D8"/>
    <w:rsid w:val="5BD17635"/>
    <w:rsid w:val="5BD23EEB"/>
    <w:rsid w:val="5BD34A47"/>
    <w:rsid w:val="5BD45D49"/>
    <w:rsid w:val="5BD930EE"/>
    <w:rsid w:val="5BDA68CF"/>
    <w:rsid w:val="5BDE032F"/>
    <w:rsid w:val="5BDE3767"/>
    <w:rsid w:val="5BDE39BF"/>
    <w:rsid w:val="5BDF13AD"/>
    <w:rsid w:val="5BDF5D95"/>
    <w:rsid w:val="5BE00B91"/>
    <w:rsid w:val="5BE30FD5"/>
    <w:rsid w:val="5BE32D83"/>
    <w:rsid w:val="5BE53961"/>
    <w:rsid w:val="5BE72873"/>
    <w:rsid w:val="5BE8059A"/>
    <w:rsid w:val="5BE82147"/>
    <w:rsid w:val="5BE87650"/>
    <w:rsid w:val="5BEE4525"/>
    <w:rsid w:val="5BEF1728"/>
    <w:rsid w:val="5BF6144F"/>
    <w:rsid w:val="5BF8176B"/>
    <w:rsid w:val="5BF912E8"/>
    <w:rsid w:val="5BF97111"/>
    <w:rsid w:val="5BFC4AF6"/>
    <w:rsid w:val="5BFC522F"/>
    <w:rsid w:val="5BFD2097"/>
    <w:rsid w:val="5BFD3E45"/>
    <w:rsid w:val="5BFE7528"/>
    <w:rsid w:val="5BFF436E"/>
    <w:rsid w:val="5C02288F"/>
    <w:rsid w:val="5C052CF9"/>
    <w:rsid w:val="5C0C0A03"/>
    <w:rsid w:val="5C0D7E00"/>
    <w:rsid w:val="5C101986"/>
    <w:rsid w:val="5C122C06"/>
    <w:rsid w:val="5C133668"/>
    <w:rsid w:val="5C14118E"/>
    <w:rsid w:val="5C176BD3"/>
    <w:rsid w:val="5C180AFB"/>
    <w:rsid w:val="5C1D017A"/>
    <w:rsid w:val="5C237883"/>
    <w:rsid w:val="5C277114"/>
    <w:rsid w:val="5C2869E8"/>
    <w:rsid w:val="5C2B440E"/>
    <w:rsid w:val="5C2B512E"/>
    <w:rsid w:val="5C2C472A"/>
    <w:rsid w:val="5C2E5B9D"/>
    <w:rsid w:val="5C3060A5"/>
    <w:rsid w:val="5C34538D"/>
    <w:rsid w:val="5C381321"/>
    <w:rsid w:val="5C3964BC"/>
    <w:rsid w:val="5C3B31D9"/>
    <w:rsid w:val="5C3B35C9"/>
    <w:rsid w:val="5C3C6489"/>
    <w:rsid w:val="5C3F5307"/>
    <w:rsid w:val="5C4101D8"/>
    <w:rsid w:val="5C437781"/>
    <w:rsid w:val="5C444613"/>
    <w:rsid w:val="5C484B5F"/>
    <w:rsid w:val="5C486240"/>
    <w:rsid w:val="5C4A590F"/>
    <w:rsid w:val="5C504E39"/>
    <w:rsid w:val="5C521722"/>
    <w:rsid w:val="5C52446F"/>
    <w:rsid w:val="5C553C81"/>
    <w:rsid w:val="5C583771"/>
    <w:rsid w:val="5C590BA1"/>
    <w:rsid w:val="5C5A366A"/>
    <w:rsid w:val="5C5A6D58"/>
    <w:rsid w:val="5C5C0CD5"/>
    <w:rsid w:val="5C5D0D87"/>
    <w:rsid w:val="5C5E240A"/>
    <w:rsid w:val="5C5E5579"/>
    <w:rsid w:val="5C5F065B"/>
    <w:rsid w:val="5C606182"/>
    <w:rsid w:val="5C611C5D"/>
    <w:rsid w:val="5C657F77"/>
    <w:rsid w:val="5C67307A"/>
    <w:rsid w:val="5C69772C"/>
    <w:rsid w:val="5C6A7000"/>
    <w:rsid w:val="5C6C5CFD"/>
    <w:rsid w:val="5C6D2BDD"/>
    <w:rsid w:val="5C730C0B"/>
    <w:rsid w:val="5C755622"/>
    <w:rsid w:val="5C776AE9"/>
    <w:rsid w:val="5C7F525F"/>
    <w:rsid w:val="5C806824"/>
    <w:rsid w:val="5C841C4F"/>
    <w:rsid w:val="5C860AC2"/>
    <w:rsid w:val="5C8D7611"/>
    <w:rsid w:val="5C900E0D"/>
    <w:rsid w:val="5C943778"/>
    <w:rsid w:val="5C950521"/>
    <w:rsid w:val="5C953330"/>
    <w:rsid w:val="5C9B540C"/>
    <w:rsid w:val="5C9D38E9"/>
    <w:rsid w:val="5C9E2806"/>
    <w:rsid w:val="5CA07D6F"/>
    <w:rsid w:val="5CA25E10"/>
    <w:rsid w:val="5CA3554E"/>
    <w:rsid w:val="5CA47D08"/>
    <w:rsid w:val="5CA644DC"/>
    <w:rsid w:val="5CAA0420"/>
    <w:rsid w:val="5CAC2DD4"/>
    <w:rsid w:val="5CAF0680"/>
    <w:rsid w:val="5CB0535B"/>
    <w:rsid w:val="5CB3300D"/>
    <w:rsid w:val="5CB63DEE"/>
    <w:rsid w:val="5CB70498"/>
    <w:rsid w:val="5CB84E70"/>
    <w:rsid w:val="5CB85F7C"/>
    <w:rsid w:val="5CBA37D5"/>
    <w:rsid w:val="5CBA38A3"/>
    <w:rsid w:val="5CBA7F88"/>
    <w:rsid w:val="5CBB6B3C"/>
    <w:rsid w:val="5CBF03C5"/>
    <w:rsid w:val="5CBF53AA"/>
    <w:rsid w:val="5CBF5A15"/>
    <w:rsid w:val="5CBF734C"/>
    <w:rsid w:val="5CC05891"/>
    <w:rsid w:val="5CC17E73"/>
    <w:rsid w:val="5CC24B47"/>
    <w:rsid w:val="5CC37FD7"/>
    <w:rsid w:val="5CC93979"/>
    <w:rsid w:val="5CCF0AAD"/>
    <w:rsid w:val="5CD3076E"/>
    <w:rsid w:val="5CD35638"/>
    <w:rsid w:val="5CD54DC2"/>
    <w:rsid w:val="5CD60BED"/>
    <w:rsid w:val="5CD728E8"/>
    <w:rsid w:val="5CDB6CBC"/>
    <w:rsid w:val="5CDD4722"/>
    <w:rsid w:val="5CDF79EE"/>
    <w:rsid w:val="5CE0291F"/>
    <w:rsid w:val="5CE172C2"/>
    <w:rsid w:val="5CE27F21"/>
    <w:rsid w:val="5CE527CD"/>
    <w:rsid w:val="5CE62B2B"/>
    <w:rsid w:val="5CE6709F"/>
    <w:rsid w:val="5CEB1EEF"/>
    <w:rsid w:val="5CEB6393"/>
    <w:rsid w:val="5CF60894"/>
    <w:rsid w:val="5CF709E9"/>
    <w:rsid w:val="5CF90C3F"/>
    <w:rsid w:val="5CF95962"/>
    <w:rsid w:val="5CFA0B89"/>
    <w:rsid w:val="5D000932"/>
    <w:rsid w:val="5D005803"/>
    <w:rsid w:val="5D047455"/>
    <w:rsid w:val="5D051F10"/>
    <w:rsid w:val="5D0536BD"/>
    <w:rsid w:val="5D094A6B"/>
    <w:rsid w:val="5D096D84"/>
    <w:rsid w:val="5D0A171B"/>
    <w:rsid w:val="5D0A60B0"/>
    <w:rsid w:val="5D0B07E3"/>
    <w:rsid w:val="5D0B3F6B"/>
    <w:rsid w:val="5D0D3B35"/>
    <w:rsid w:val="5D0E260D"/>
    <w:rsid w:val="5D0F4420"/>
    <w:rsid w:val="5D121B72"/>
    <w:rsid w:val="5D1256CE"/>
    <w:rsid w:val="5D125FB6"/>
    <w:rsid w:val="5D142EC9"/>
    <w:rsid w:val="5D1A1537"/>
    <w:rsid w:val="5D1A6B11"/>
    <w:rsid w:val="5D1C1359"/>
    <w:rsid w:val="5D1C2035"/>
    <w:rsid w:val="5D1E1A6F"/>
    <w:rsid w:val="5D1F6A72"/>
    <w:rsid w:val="5D235B2D"/>
    <w:rsid w:val="5D281C2C"/>
    <w:rsid w:val="5D296EBB"/>
    <w:rsid w:val="5D2E44D2"/>
    <w:rsid w:val="5D2E6280"/>
    <w:rsid w:val="5D3970FE"/>
    <w:rsid w:val="5D3B7626"/>
    <w:rsid w:val="5D3C19AC"/>
    <w:rsid w:val="5D3E1D54"/>
    <w:rsid w:val="5D3F47CB"/>
    <w:rsid w:val="5D400E62"/>
    <w:rsid w:val="5D407F02"/>
    <w:rsid w:val="5D44644E"/>
    <w:rsid w:val="5D4635C9"/>
    <w:rsid w:val="5D4B0BE0"/>
    <w:rsid w:val="5D4B3230"/>
    <w:rsid w:val="5D4B5084"/>
    <w:rsid w:val="5D4C7A06"/>
    <w:rsid w:val="5D4D2BAA"/>
    <w:rsid w:val="5D552CEC"/>
    <w:rsid w:val="5D5817E1"/>
    <w:rsid w:val="5D5B35C7"/>
    <w:rsid w:val="5D5F468B"/>
    <w:rsid w:val="5D60281A"/>
    <w:rsid w:val="5D6063D5"/>
    <w:rsid w:val="5D607449"/>
    <w:rsid w:val="5D607F79"/>
    <w:rsid w:val="5D656B49"/>
    <w:rsid w:val="5D690575"/>
    <w:rsid w:val="5D6972B8"/>
    <w:rsid w:val="5D6A74D8"/>
    <w:rsid w:val="5D6D2784"/>
    <w:rsid w:val="5D736B8B"/>
    <w:rsid w:val="5D75771C"/>
    <w:rsid w:val="5D76203C"/>
    <w:rsid w:val="5D7729D2"/>
    <w:rsid w:val="5D7914D0"/>
    <w:rsid w:val="5D79399F"/>
    <w:rsid w:val="5D7F6ADB"/>
    <w:rsid w:val="5D8370AC"/>
    <w:rsid w:val="5D852344"/>
    <w:rsid w:val="5D852FB9"/>
    <w:rsid w:val="5D854962"/>
    <w:rsid w:val="5D8B36D2"/>
    <w:rsid w:val="5D8F082D"/>
    <w:rsid w:val="5D905A7F"/>
    <w:rsid w:val="5D930E18"/>
    <w:rsid w:val="5D953891"/>
    <w:rsid w:val="5D964FE5"/>
    <w:rsid w:val="5D972077"/>
    <w:rsid w:val="5D99318F"/>
    <w:rsid w:val="5D996534"/>
    <w:rsid w:val="5D997B9D"/>
    <w:rsid w:val="5D9E3405"/>
    <w:rsid w:val="5DA43C29"/>
    <w:rsid w:val="5DA4793B"/>
    <w:rsid w:val="5DA601B6"/>
    <w:rsid w:val="5DA95217"/>
    <w:rsid w:val="5DAA3E0E"/>
    <w:rsid w:val="5DAA7A9B"/>
    <w:rsid w:val="5DAD04CB"/>
    <w:rsid w:val="5DAD53F7"/>
    <w:rsid w:val="5DB1138B"/>
    <w:rsid w:val="5DB522F8"/>
    <w:rsid w:val="5DB53120"/>
    <w:rsid w:val="5DBC388C"/>
    <w:rsid w:val="5DBC65A6"/>
    <w:rsid w:val="5DC012A8"/>
    <w:rsid w:val="5DC049B4"/>
    <w:rsid w:val="5DC10EA2"/>
    <w:rsid w:val="5DC12D96"/>
    <w:rsid w:val="5DC34C1A"/>
    <w:rsid w:val="5DC43BD5"/>
    <w:rsid w:val="5DC54774"/>
    <w:rsid w:val="5DC76FF7"/>
    <w:rsid w:val="5DD01CEB"/>
    <w:rsid w:val="5DD72473"/>
    <w:rsid w:val="5DDC4874"/>
    <w:rsid w:val="5DE05F59"/>
    <w:rsid w:val="5DE13BCB"/>
    <w:rsid w:val="5DE15290"/>
    <w:rsid w:val="5DE1630B"/>
    <w:rsid w:val="5DE315AE"/>
    <w:rsid w:val="5DE60909"/>
    <w:rsid w:val="5DE81A5A"/>
    <w:rsid w:val="5DE84681"/>
    <w:rsid w:val="5DE95FD8"/>
    <w:rsid w:val="5DEE73C9"/>
    <w:rsid w:val="5DF43025"/>
    <w:rsid w:val="5DF474C9"/>
    <w:rsid w:val="5DF86996"/>
    <w:rsid w:val="5DFA32E2"/>
    <w:rsid w:val="5E033269"/>
    <w:rsid w:val="5E0665DC"/>
    <w:rsid w:val="5E066F00"/>
    <w:rsid w:val="5E0D0C65"/>
    <w:rsid w:val="5E0D2977"/>
    <w:rsid w:val="5E0F60B1"/>
    <w:rsid w:val="5E106753"/>
    <w:rsid w:val="5E12333D"/>
    <w:rsid w:val="5E171A59"/>
    <w:rsid w:val="5E18721B"/>
    <w:rsid w:val="5E1D07CE"/>
    <w:rsid w:val="5E202251"/>
    <w:rsid w:val="5E211B34"/>
    <w:rsid w:val="5E241EC2"/>
    <w:rsid w:val="5E242FC4"/>
    <w:rsid w:val="5E243120"/>
    <w:rsid w:val="5E2467F1"/>
    <w:rsid w:val="5E2506A5"/>
    <w:rsid w:val="5E2558D5"/>
    <w:rsid w:val="5E2733FB"/>
    <w:rsid w:val="5E2739E8"/>
    <w:rsid w:val="5E2B76B4"/>
    <w:rsid w:val="5E2C0A11"/>
    <w:rsid w:val="5E2E25CC"/>
    <w:rsid w:val="5E2E29DB"/>
    <w:rsid w:val="5E3173A0"/>
    <w:rsid w:val="5E323B4E"/>
    <w:rsid w:val="5E352CD2"/>
    <w:rsid w:val="5E360964"/>
    <w:rsid w:val="5E36363E"/>
    <w:rsid w:val="5E371164"/>
    <w:rsid w:val="5E373099"/>
    <w:rsid w:val="5E3750A9"/>
    <w:rsid w:val="5E394EDC"/>
    <w:rsid w:val="5E3A4277"/>
    <w:rsid w:val="5E3A52DD"/>
    <w:rsid w:val="5E3B6049"/>
    <w:rsid w:val="5E3E454F"/>
    <w:rsid w:val="5E427EE6"/>
    <w:rsid w:val="5E46735A"/>
    <w:rsid w:val="5E4745B8"/>
    <w:rsid w:val="5E4C10B3"/>
    <w:rsid w:val="5E4C2B8A"/>
    <w:rsid w:val="5E4E6BDA"/>
    <w:rsid w:val="5E510B8C"/>
    <w:rsid w:val="5E5166CA"/>
    <w:rsid w:val="5E516AE4"/>
    <w:rsid w:val="5E522F1B"/>
    <w:rsid w:val="5E533800"/>
    <w:rsid w:val="5E575DD0"/>
    <w:rsid w:val="5E583563"/>
    <w:rsid w:val="5E585F74"/>
    <w:rsid w:val="5E5A3B17"/>
    <w:rsid w:val="5E5A4B87"/>
    <w:rsid w:val="5E5D50D2"/>
    <w:rsid w:val="5E5E60C0"/>
    <w:rsid w:val="5E602EAB"/>
    <w:rsid w:val="5E647056"/>
    <w:rsid w:val="5E664FE2"/>
    <w:rsid w:val="5E666302"/>
    <w:rsid w:val="5E677792"/>
    <w:rsid w:val="5E6A130C"/>
    <w:rsid w:val="5E6B2873"/>
    <w:rsid w:val="5E6C289E"/>
    <w:rsid w:val="5E6C52B2"/>
    <w:rsid w:val="5E6D4B86"/>
    <w:rsid w:val="5E714792"/>
    <w:rsid w:val="5E734892"/>
    <w:rsid w:val="5E766130"/>
    <w:rsid w:val="5E7D16C0"/>
    <w:rsid w:val="5E7F3237"/>
    <w:rsid w:val="5E7F4615"/>
    <w:rsid w:val="5E826DD6"/>
    <w:rsid w:val="5E8425FB"/>
    <w:rsid w:val="5E8951B9"/>
    <w:rsid w:val="5E8B39E2"/>
    <w:rsid w:val="5E8C5954"/>
    <w:rsid w:val="5E8C7702"/>
    <w:rsid w:val="5E906A14"/>
    <w:rsid w:val="5E9071F2"/>
    <w:rsid w:val="5E916AC6"/>
    <w:rsid w:val="5E943DAD"/>
    <w:rsid w:val="5E9B5B97"/>
    <w:rsid w:val="5E9C63D1"/>
    <w:rsid w:val="5E9E6552"/>
    <w:rsid w:val="5E9F3111"/>
    <w:rsid w:val="5EA02FC2"/>
    <w:rsid w:val="5EA05BE0"/>
    <w:rsid w:val="5EA331DF"/>
    <w:rsid w:val="5EA6016C"/>
    <w:rsid w:val="5EA902B4"/>
    <w:rsid w:val="5EAA6CDD"/>
    <w:rsid w:val="5EAA7B88"/>
    <w:rsid w:val="5EAC38D8"/>
    <w:rsid w:val="5EAC52CC"/>
    <w:rsid w:val="5EAE07E6"/>
    <w:rsid w:val="5EB237E6"/>
    <w:rsid w:val="5EB263B6"/>
    <w:rsid w:val="5EB50A07"/>
    <w:rsid w:val="5EB55938"/>
    <w:rsid w:val="5EB638CC"/>
    <w:rsid w:val="5EB707EB"/>
    <w:rsid w:val="5EBD70DA"/>
    <w:rsid w:val="5EBD78BB"/>
    <w:rsid w:val="5EBF7EF2"/>
    <w:rsid w:val="5EC03BE5"/>
    <w:rsid w:val="5EC24ED2"/>
    <w:rsid w:val="5EC736E8"/>
    <w:rsid w:val="5EC81B99"/>
    <w:rsid w:val="5EC96260"/>
    <w:rsid w:val="5ECD5574"/>
    <w:rsid w:val="5ECE67F8"/>
    <w:rsid w:val="5ED13367"/>
    <w:rsid w:val="5ED15730"/>
    <w:rsid w:val="5ED559B2"/>
    <w:rsid w:val="5ED8244E"/>
    <w:rsid w:val="5EDA0728"/>
    <w:rsid w:val="5EDA221B"/>
    <w:rsid w:val="5EDB66D1"/>
    <w:rsid w:val="5EDF7471"/>
    <w:rsid w:val="5EE25574"/>
    <w:rsid w:val="5EEB3A0B"/>
    <w:rsid w:val="5EEF0BAA"/>
    <w:rsid w:val="5EF00CEB"/>
    <w:rsid w:val="5EF01A3F"/>
    <w:rsid w:val="5EF07C91"/>
    <w:rsid w:val="5EF14AFC"/>
    <w:rsid w:val="5EF1600C"/>
    <w:rsid w:val="5EF361E0"/>
    <w:rsid w:val="5EF410D5"/>
    <w:rsid w:val="5EFA5065"/>
    <w:rsid w:val="5EFB21F0"/>
    <w:rsid w:val="5EFF7ED4"/>
    <w:rsid w:val="5F011A7C"/>
    <w:rsid w:val="5F0279C4"/>
    <w:rsid w:val="5F0D6EF3"/>
    <w:rsid w:val="5F0E205F"/>
    <w:rsid w:val="5F1119B5"/>
    <w:rsid w:val="5F113BE4"/>
    <w:rsid w:val="5F117C07"/>
    <w:rsid w:val="5F1366B4"/>
    <w:rsid w:val="5F137B23"/>
    <w:rsid w:val="5F16742F"/>
    <w:rsid w:val="5F181EC0"/>
    <w:rsid w:val="5F1871E8"/>
    <w:rsid w:val="5F1926A3"/>
    <w:rsid w:val="5F1A2B43"/>
    <w:rsid w:val="5F1A4D0E"/>
    <w:rsid w:val="5F1A71FA"/>
    <w:rsid w:val="5F1D47FE"/>
    <w:rsid w:val="5F1F39A6"/>
    <w:rsid w:val="5F1F4ED8"/>
    <w:rsid w:val="5F214864"/>
    <w:rsid w:val="5F224B68"/>
    <w:rsid w:val="5F225970"/>
    <w:rsid w:val="5F2416E8"/>
    <w:rsid w:val="5F276119"/>
    <w:rsid w:val="5F2B6F1B"/>
    <w:rsid w:val="5F2D2C93"/>
    <w:rsid w:val="5F2D78FE"/>
    <w:rsid w:val="5F3105FE"/>
    <w:rsid w:val="5F3445E1"/>
    <w:rsid w:val="5F3B0ED5"/>
    <w:rsid w:val="5F3C3A00"/>
    <w:rsid w:val="5F3F650E"/>
    <w:rsid w:val="5F403C1E"/>
    <w:rsid w:val="5F415638"/>
    <w:rsid w:val="5F41673E"/>
    <w:rsid w:val="5F426012"/>
    <w:rsid w:val="5F48187B"/>
    <w:rsid w:val="5F487ACD"/>
    <w:rsid w:val="5F4C31FD"/>
    <w:rsid w:val="5F4C3BF1"/>
    <w:rsid w:val="5F4D18A9"/>
    <w:rsid w:val="5F5024DD"/>
    <w:rsid w:val="5F505015"/>
    <w:rsid w:val="5F507BE6"/>
    <w:rsid w:val="5F52018F"/>
    <w:rsid w:val="5F5521EA"/>
    <w:rsid w:val="5F566E30"/>
    <w:rsid w:val="5F57386C"/>
    <w:rsid w:val="5F5C0449"/>
    <w:rsid w:val="5F633A13"/>
    <w:rsid w:val="5F650670"/>
    <w:rsid w:val="5F680584"/>
    <w:rsid w:val="5F685A79"/>
    <w:rsid w:val="5F6E70C0"/>
    <w:rsid w:val="5F6F336B"/>
    <w:rsid w:val="5F720CE6"/>
    <w:rsid w:val="5F7253B5"/>
    <w:rsid w:val="5F726B61"/>
    <w:rsid w:val="5F7575B0"/>
    <w:rsid w:val="5F771A03"/>
    <w:rsid w:val="5F7E3D7C"/>
    <w:rsid w:val="5F7F1523"/>
    <w:rsid w:val="5F7F2DC3"/>
    <w:rsid w:val="5F8050B4"/>
    <w:rsid w:val="5F840530"/>
    <w:rsid w:val="5F8729B9"/>
    <w:rsid w:val="5F8A052F"/>
    <w:rsid w:val="5F8B0570"/>
    <w:rsid w:val="5F8B2783"/>
    <w:rsid w:val="5F8B79B9"/>
    <w:rsid w:val="5F8F5676"/>
    <w:rsid w:val="5F905AC2"/>
    <w:rsid w:val="5F906D7E"/>
    <w:rsid w:val="5F93497E"/>
    <w:rsid w:val="5F944AC0"/>
    <w:rsid w:val="5F954394"/>
    <w:rsid w:val="5F9745B0"/>
    <w:rsid w:val="5F990328"/>
    <w:rsid w:val="5F9920D6"/>
    <w:rsid w:val="5F99786C"/>
    <w:rsid w:val="5F9A19AB"/>
    <w:rsid w:val="5F9D03B8"/>
    <w:rsid w:val="5F9E76ED"/>
    <w:rsid w:val="5F9F652B"/>
    <w:rsid w:val="5FA23DBC"/>
    <w:rsid w:val="5FA32D72"/>
    <w:rsid w:val="5FA630D4"/>
    <w:rsid w:val="5FAB1E0A"/>
    <w:rsid w:val="5FB23198"/>
    <w:rsid w:val="5FB32A6C"/>
    <w:rsid w:val="5FB450C6"/>
    <w:rsid w:val="5FB556DE"/>
    <w:rsid w:val="5FB837BB"/>
    <w:rsid w:val="5FBB029F"/>
    <w:rsid w:val="5FBB6F94"/>
    <w:rsid w:val="5FBC7B73"/>
    <w:rsid w:val="5FC4535C"/>
    <w:rsid w:val="5FC47BB7"/>
    <w:rsid w:val="5FC83F20"/>
    <w:rsid w:val="5FC971B2"/>
    <w:rsid w:val="5FCB425A"/>
    <w:rsid w:val="5FCC4A9F"/>
    <w:rsid w:val="5FD044A4"/>
    <w:rsid w:val="5FD64C3D"/>
    <w:rsid w:val="5FDB7A23"/>
    <w:rsid w:val="5FDC1FC3"/>
    <w:rsid w:val="5FDD2402"/>
    <w:rsid w:val="5FDD7B11"/>
    <w:rsid w:val="5FDF5D90"/>
    <w:rsid w:val="5FE1271D"/>
    <w:rsid w:val="5FE45048"/>
    <w:rsid w:val="5FEA1E94"/>
    <w:rsid w:val="5FEA2932"/>
    <w:rsid w:val="5FEA6008"/>
    <w:rsid w:val="5FED7B39"/>
    <w:rsid w:val="5FF4555F"/>
    <w:rsid w:val="5FF76DFD"/>
    <w:rsid w:val="5FF87515"/>
    <w:rsid w:val="5FF9218A"/>
    <w:rsid w:val="5FFA0350"/>
    <w:rsid w:val="5FFB313A"/>
    <w:rsid w:val="5FFC0099"/>
    <w:rsid w:val="5FFF3E49"/>
    <w:rsid w:val="5FFF5CB2"/>
    <w:rsid w:val="60011A2A"/>
    <w:rsid w:val="60014ABF"/>
    <w:rsid w:val="6003184E"/>
    <w:rsid w:val="600532C8"/>
    <w:rsid w:val="6005776C"/>
    <w:rsid w:val="60075315"/>
    <w:rsid w:val="6008125C"/>
    <w:rsid w:val="60083A4D"/>
    <w:rsid w:val="600B4656"/>
    <w:rsid w:val="600C3FFA"/>
    <w:rsid w:val="600D3880"/>
    <w:rsid w:val="600D572A"/>
    <w:rsid w:val="600F2399"/>
    <w:rsid w:val="60115E11"/>
    <w:rsid w:val="601420CC"/>
    <w:rsid w:val="601479AF"/>
    <w:rsid w:val="601856F1"/>
    <w:rsid w:val="601874DC"/>
    <w:rsid w:val="60193217"/>
    <w:rsid w:val="601A4025"/>
    <w:rsid w:val="602048C3"/>
    <w:rsid w:val="60226F6F"/>
    <w:rsid w:val="60252058"/>
    <w:rsid w:val="60264211"/>
    <w:rsid w:val="602D1058"/>
    <w:rsid w:val="602D37FA"/>
    <w:rsid w:val="6031230F"/>
    <w:rsid w:val="60347000"/>
    <w:rsid w:val="60353B69"/>
    <w:rsid w:val="60363F91"/>
    <w:rsid w:val="6037714D"/>
    <w:rsid w:val="603B303B"/>
    <w:rsid w:val="603D6F06"/>
    <w:rsid w:val="603E47C1"/>
    <w:rsid w:val="60402101"/>
    <w:rsid w:val="60457B68"/>
    <w:rsid w:val="60470EFE"/>
    <w:rsid w:val="604803EA"/>
    <w:rsid w:val="604C38E0"/>
    <w:rsid w:val="604F4E8B"/>
    <w:rsid w:val="60510691"/>
    <w:rsid w:val="605129B1"/>
    <w:rsid w:val="60530275"/>
    <w:rsid w:val="60533348"/>
    <w:rsid w:val="60537FA7"/>
    <w:rsid w:val="605424A1"/>
    <w:rsid w:val="60561D75"/>
    <w:rsid w:val="60563B24"/>
    <w:rsid w:val="60566CEE"/>
    <w:rsid w:val="60580687"/>
    <w:rsid w:val="6059015A"/>
    <w:rsid w:val="605E7D2D"/>
    <w:rsid w:val="605F283D"/>
    <w:rsid w:val="60602BF4"/>
    <w:rsid w:val="60622F8E"/>
    <w:rsid w:val="606239F5"/>
    <w:rsid w:val="60681978"/>
    <w:rsid w:val="60693EDE"/>
    <w:rsid w:val="606A55B3"/>
    <w:rsid w:val="606E1DA0"/>
    <w:rsid w:val="606F7BC5"/>
    <w:rsid w:val="60704F99"/>
    <w:rsid w:val="6070654F"/>
    <w:rsid w:val="607301CC"/>
    <w:rsid w:val="60733FEC"/>
    <w:rsid w:val="607522B0"/>
    <w:rsid w:val="60783B87"/>
    <w:rsid w:val="607B5C80"/>
    <w:rsid w:val="607C6953"/>
    <w:rsid w:val="607D37A6"/>
    <w:rsid w:val="607E307A"/>
    <w:rsid w:val="60871A06"/>
    <w:rsid w:val="608E5190"/>
    <w:rsid w:val="608F5287"/>
    <w:rsid w:val="60974649"/>
    <w:rsid w:val="609A7DC9"/>
    <w:rsid w:val="609D3AE2"/>
    <w:rsid w:val="609D5C3E"/>
    <w:rsid w:val="609D79A4"/>
    <w:rsid w:val="609E371C"/>
    <w:rsid w:val="609E6087"/>
    <w:rsid w:val="60A171A7"/>
    <w:rsid w:val="60A35B2C"/>
    <w:rsid w:val="60A43F39"/>
    <w:rsid w:val="60A53014"/>
    <w:rsid w:val="60A631B2"/>
    <w:rsid w:val="60A638B5"/>
    <w:rsid w:val="60A672C1"/>
    <w:rsid w:val="60A76A75"/>
    <w:rsid w:val="60A86FB7"/>
    <w:rsid w:val="60A92027"/>
    <w:rsid w:val="60AD6035"/>
    <w:rsid w:val="60B03FDA"/>
    <w:rsid w:val="60B65346"/>
    <w:rsid w:val="60B82A30"/>
    <w:rsid w:val="60B847DE"/>
    <w:rsid w:val="60B87B9B"/>
    <w:rsid w:val="60B938A7"/>
    <w:rsid w:val="60BA3148"/>
    <w:rsid w:val="60BB0F69"/>
    <w:rsid w:val="60BD7192"/>
    <w:rsid w:val="60BF34F0"/>
    <w:rsid w:val="60C63461"/>
    <w:rsid w:val="60C65134"/>
    <w:rsid w:val="60C910DF"/>
    <w:rsid w:val="60C92BF3"/>
    <w:rsid w:val="60CC405A"/>
    <w:rsid w:val="60CC5A1D"/>
    <w:rsid w:val="60CD7D73"/>
    <w:rsid w:val="60CE165D"/>
    <w:rsid w:val="60CF12EC"/>
    <w:rsid w:val="60D13AF2"/>
    <w:rsid w:val="60D31618"/>
    <w:rsid w:val="60D3677B"/>
    <w:rsid w:val="60D523E3"/>
    <w:rsid w:val="60D52511"/>
    <w:rsid w:val="60D52DCE"/>
    <w:rsid w:val="60D77C3D"/>
    <w:rsid w:val="60DD7615"/>
    <w:rsid w:val="60DF1D6B"/>
    <w:rsid w:val="60DF77A7"/>
    <w:rsid w:val="60E12956"/>
    <w:rsid w:val="60E450F8"/>
    <w:rsid w:val="60E52473"/>
    <w:rsid w:val="60E6375A"/>
    <w:rsid w:val="60E70963"/>
    <w:rsid w:val="60E86DB4"/>
    <w:rsid w:val="60E96D8B"/>
    <w:rsid w:val="60EA1873"/>
    <w:rsid w:val="60EB636D"/>
    <w:rsid w:val="60EF54A6"/>
    <w:rsid w:val="60F01468"/>
    <w:rsid w:val="60F11A9E"/>
    <w:rsid w:val="60F12834"/>
    <w:rsid w:val="60F27D7A"/>
    <w:rsid w:val="60F33838"/>
    <w:rsid w:val="60F35816"/>
    <w:rsid w:val="60F70E07"/>
    <w:rsid w:val="60F74277"/>
    <w:rsid w:val="60FB2F12"/>
    <w:rsid w:val="60FC2C0F"/>
    <w:rsid w:val="60FD0443"/>
    <w:rsid w:val="60FD20E8"/>
    <w:rsid w:val="60FE6498"/>
    <w:rsid w:val="60FF7FD4"/>
    <w:rsid w:val="6100082A"/>
    <w:rsid w:val="61047BC9"/>
    <w:rsid w:val="6107284B"/>
    <w:rsid w:val="610B5692"/>
    <w:rsid w:val="610C1348"/>
    <w:rsid w:val="610C4B2A"/>
    <w:rsid w:val="610D606E"/>
    <w:rsid w:val="6110461A"/>
    <w:rsid w:val="61113EEE"/>
    <w:rsid w:val="61170C3E"/>
    <w:rsid w:val="611E4A3C"/>
    <w:rsid w:val="61207E84"/>
    <w:rsid w:val="61211FDF"/>
    <w:rsid w:val="612215BD"/>
    <w:rsid w:val="612260FC"/>
    <w:rsid w:val="61227B48"/>
    <w:rsid w:val="6124691D"/>
    <w:rsid w:val="612601AD"/>
    <w:rsid w:val="61283090"/>
    <w:rsid w:val="61284298"/>
    <w:rsid w:val="612A153B"/>
    <w:rsid w:val="612B1454"/>
    <w:rsid w:val="612B3202"/>
    <w:rsid w:val="612C083E"/>
    <w:rsid w:val="612C0A2F"/>
    <w:rsid w:val="6131610F"/>
    <w:rsid w:val="613161F1"/>
    <w:rsid w:val="61331892"/>
    <w:rsid w:val="61342D08"/>
    <w:rsid w:val="61350706"/>
    <w:rsid w:val="613D1187"/>
    <w:rsid w:val="613E414C"/>
    <w:rsid w:val="6140449A"/>
    <w:rsid w:val="61416F8E"/>
    <w:rsid w:val="61475885"/>
    <w:rsid w:val="61481249"/>
    <w:rsid w:val="614877A9"/>
    <w:rsid w:val="615169C3"/>
    <w:rsid w:val="6154366A"/>
    <w:rsid w:val="61565DA5"/>
    <w:rsid w:val="615A2BE8"/>
    <w:rsid w:val="615C33BC"/>
    <w:rsid w:val="615C561C"/>
    <w:rsid w:val="615D25EE"/>
    <w:rsid w:val="615D7134"/>
    <w:rsid w:val="615E04DC"/>
    <w:rsid w:val="615F10FE"/>
    <w:rsid w:val="615F4C11"/>
    <w:rsid w:val="61601597"/>
    <w:rsid w:val="61625CE9"/>
    <w:rsid w:val="61694445"/>
    <w:rsid w:val="616D05C5"/>
    <w:rsid w:val="616D55C9"/>
    <w:rsid w:val="61703EAE"/>
    <w:rsid w:val="61711464"/>
    <w:rsid w:val="617526CF"/>
    <w:rsid w:val="617960EE"/>
    <w:rsid w:val="617A1A94"/>
    <w:rsid w:val="617A7CE6"/>
    <w:rsid w:val="617B4BA0"/>
    <w:rsid w:val="617D102A"/>
    <w:rsid w:val="61807AA7"/>
    <w:rsid w:val="61826788"/>
    <w:rsid w:val="6183303E"/>
    <w:rsid w:val="61833152"/>
    <w:rsid w:val="61871227"/>
    <w:rsid w:val="61884607"/>
    <w:rsid w:val="61884F6C"/>
    <w:rsid w:val="61897F29"/>
    <w:rsid w:val="618D5FBE"/>
    <w:rsid w:val="61912ACF"/>
    <w:rsid w:val="619253DF"/>
    <w:rsid w:val="61926DDD"/>
    <w:rsid w:val="61946AF9"/>
    <w:rsid w:val="61963666"/>
    <w:rsid w:val="619856F0"/>
    <w:rsid w:val="619903D6"/>
    <w:rsid w:val="6199609A"/>
    <w:rsid w:val="619E43F5"/>
    <w:rsid w:val="61A23E60"/>
    <w:rsid w:val="61A563ED"/>
    <w:rsid w:val="61A56A89"/>
    <w:rsid w:val="61A70C5E"/>
    <w:rsid w:val="61A80C85"/>
    <w:rsid w:val="61AB4343"/>
    <w:rsid w:val="61AC6F48"/>
    <w:rsid w:val="61AD1E69"/>
    <w:rsid w:val="61AE14CA"/>
    <w:rsid w:val="61B23EE3"/>
    <w:rsid w:val="61B50D1E"/>
    <w:rsid w:val="61B5101A"/>
    <w:rsid w:val="61B5311C"/>
    <w:rsid w:val="61B61C8F"/>
    <w:rsid w:val="61B84E22"/>
    <w:rsid w:val="61B86F81"/>
    <w:rsid w:val="61C473F2"/>
    <w:rsid w:val="61C70948"/>
    <w:rsid w:val="61C76E89"/>
    <w:rsid w:val="61C96577"/>
    <w:rsid w:val="61CA3E71"/>
    <w:rsid w:val="61CD6334"/>
    <w:rsid w:val="61D26E50"/>
    <w:rsid w:val="61D27B22"/>
    <w:rsid w:val="61D47F74"/>
    <w:rsid w:val="61D62081"/>
    <w:rsid w:val="61D90439"/>
    <w:rsid w:val="61DA0784"/>
    <w:rsid w:val="61E215D8"/>
    <w:rsid w:val="61E41603"/>
    <w:rsid w:val="61E635CD"/>
    <w:rsid w:val="61EA2FB7"/>
    <w:rsid w:val="61EB1FBC"/>
    <w:rsid w:val="61EF28BE"/>
    <w:rsid w:val="61F52054"/>
    <w:rsid w:val="61F7383C"/>
    <w:rsid w:val="61F90C57"/>
    <w:rsid w:val="61F950AE"/>
    <w:rsid w:val="61FA4982"/>
    <w:rsid w:val="61FB61B5"/>
    <w:rsid w:val="61FE488B"/>
    <w:rsid w:val="620408CE"/>
    <w:rsid w:val="62055E3F"/>
    <w:rsid w:val="62062D49"/>
    <w:rsid w:val="62065A1D"/>
    <w:rsid w:val="620B3E63"/>
    <w:rsid w:val="620D2908"/>
    <w:rsid w:val="620E34F2"/>
    <w:rsid w:val="62102101"/>
    <w:rsid w:val="621041A6"/>
    <w:rsid w:val="62104C36"/>
    <w:rsid w:val="621122AA"/>
    <w:rsid w:val="6216709D"/>
    <w:rsid w:val="62180B96"/>
    <w:rsid w:val="621877AE"/>
    <w:rsid w:val="62190E5B"/>
    <w:rsid w:val="621A793F"/>
    <w:rsid w:val="621B3775"/>
    <w:rsid w:val="621B67A2"/>
    <w:rsid w:val="621E7FC3"/>
    <w:rsid w:val="62210CAE"/>
    <w:rsid w:val="6223212B"/>
    <w:rsid w:val="62233ED9"/>
    <w:rsid w:val="622724A8"/>
    <w:rsid w:val="622A5268"/>
    <w:rsid w:val="622D1966"/>
    <w:rsid w:val="622D44A5"/>
    <w:rsid w:val="622E129E"/>
    <w:rsid w:val="622F0AD0"/>
    <w:rsid w:val="622F79DB"/>
    <w:rsid w:val="62311144"/>
    <w:rsid w:val="6233620D"/>
    <w:rsid w:val="623363A6"/>
    <w:rsid w:val="62364782"/>
    <w:rsid w:val="62373E29"/>
    <w:rsid w:val="6239194F"/>
    <w:rsid w:val="623A5A79"/>
    <w:rsid w:val="623B7475"/>
    <w:rsid w:val="623C7BF1"/>
    <w:rsid w:val="623D4721"/>
    <w:rsid w:val="623D686D"/>
    <w:rsid w:val="623F6839"/>
    <w:rsid w:val="6240482B"/>
    <w:rsid w:val="624151D8"/>
    <w:rsid w:val="624157A0"/>
    <w:rsid w:val="62456545"/>
    <w:rsid w:val="62467BC8"/>
    <w:rsid w:val="624A76B8"/>
    <w:rsid w:val="624F700C"/>
    <w:rsid w:val="625247BE"/>
    <w:rsid w:val="62526BE0"/>
    <w:rsid w:val="62553DD1"/>
    <w:rsid w:val="625706E1"/>
    <w:rsid w:val="62586279"/>
    <w:rsid w:val="62592D36"/>
    <w:rsid w:val="625933C2"/>
    <w:rsid w:val="62593D9F"/>
    <w:rsid w:val="625B3673"/>
    <w:rsid w:val="625E3163"/>
    <w:rsid w:val="62612C54"/>
    <w:rsid w:val="62685D90"/>
    <w:rsid w:val="626A7D5A"/>
    <w:rsid w:val="626F11BE"/>
    <w:rsid w:val="62710130"/>
    <w:rsid w:val="62711E37"/>
    <w:rsid w:val="6271533C"/>
    <w:rsid w:val="62752F49"/>
    <w:rsid w:val="62774225"/>
    <w:rsid w:val="62775FD3"/>
    <w:rsid w:val="627875F1"/>
    <w:rsid w:val="62792267"/>
    <w:rsid w:val="627B2108"/>
    <w:rsid w:val="627E3805"/>
    <w:rsid w:val="627E779D"/>
    <w:rsid w:val="6280757E"/>
    <w:rsid w:val="62820456"/>
    <w:rsid w:val="62823274"/>
    <w:rsid w:val="62827053"/>
    <w:rsid w:val="628276E1"/>
    <w:rsid w:val="6288355E"/>
    <w:rsid w:val="62894684"/>
    <w:rsid w:val="628B4124"/>
    <w:rsid w:val="628D4A21"/>
    <w:rsid w:val="628E2C41"/>
    <w:rsid w:val="628F5F1E"/>
    <w:rsid w:val="629131D4"/>
    <w:rsid w:val="62914AC0"/>
    <w:rsid w:val="62920817"/>
    <w:rsid w:val="6293185C"/>
    <w:rsid w:val="629329A3"/>
    <w:rsid w:val="62935DB1"/>
    <w:rsid w:val="62943099"/>
    <w:rsid w:val="62950458"/>
    <w:rsid w:val="62955AA9"/>
    <w:rsid w:val="62970854"/>
    <w:rsid w:val="6297415B"/>
    <w:rsid w:val="62975ADA"/>
    <w:rsid w:val="62980A96"/>
    <w:rsid w:val="629923ED"/>
    <w:rsid w:val="629D11C5"/>
    <w:rsid w:val="629E17B2"/>
    <w:rsid w:val="629F0CC0"/>
    <w:rsid w:val="629F79CA"/>
    <w:rsid w:val="62A104EB"/>
    <w:rsid w:val="62A4619D"/>
    <w:rsid w:val="62A50D92"/>
    <w:rsid w:val="62A74B0A"/>
    <w:rsid w:val="62A7506B"/>
    <w:rsid w:val="62A766CE"/>
    <w:rsid w:val="62AA0157"/>
    <w:rsid w:val="62AD0301"/>
    <w:rsid w:val="62AD0687"/>
    <w:rsid w:val="62AD6E29"/>
    <w:rsid w:val="62AD7C47"/>
    <w:rsid w:val="62B062F2"/>
    <w:rsid w:val="62B114E5"/>
    <w:rsid w:val="62B16C01"/>
    <w:rsid w:val="62B17737"/>
    <w:rsid w:val="62B6186A"/>
    <w:rsid w:val="62B80AC5"/>
    <w:rsid w:val="62BA4C90"/>
    <w:rsid w:val="62BB36B9"/>
    <w:rsid w:val="62BD432E"/>
    <w:rsid w:val="62BF00A6"/>
    <w:rsid w:val="62C169B9"/>
    <w:rsid w:val="62C17277"/>
    <w:rsid w:val="62C27B96"/>
    <w:rsid w:val="62C92CD3"/>
    <w:rsid w:val="62CA2FE3"/>
    <w:rsid w:val="62CA3F67"/>
    <w:rsid w:val="62CC631F"/>
    <w:rsid w:val="62D033F2"/>
    <w:rsid w:val="62D11F77"/>
    <w:rsid w:val="62D436AC"/>
    <w:rsid w:val="62D77ADD"/>
    <w:rsid w:val="62D942AA"/>
    <w:rsid w:val="62DA1656"/>
    <w:rsid w:val="62DE3CDE"/>
    <w:rsid w:val="62E25501"/>
    <w:rsid w:val="62E3239C"/>
    <w:rsid w:val="62E34027"/>
    <w:rsid w:val="62E53885"/>
    <w:rsid w:val="62E63110"/>
    <w:rsid w:val="62E63992"/>
    <w:rsid w:val="62E713AB"/>
    <w:rsid w:val="62E727C1"/>
    <w:rsid w:val="62E92D80"/>
    <w:rsid w:val="62EB51B2"/>
    <w:rsid w:val="62F021FB"/>
    <w:rsid w:val="62F5098F"/>
    <w:rsid w:val="62F62DE1"/>
    <w:rsid w:val="62F870D1"/>
    <w:rsid w:val="62FB0354"/>
    <w:rsid w:val="62FC0898"/>
    <w:rsid w:val="62FF4946"/>
    <w:rsid w:val="63097573"/>
    <w:rsid w:val="630B0F43"/>
    <w:rsid w:val="630B51BA"/>
    <w:rsid w:val="630C7063"/>
    <w:rsid w:val="630E420C"/>
    <w:rsid w:val="630E4B89"/>
    <w:rsid w:val="630F5CDE"/>
    <w:rsid w:val="63106792"/>
    <w:rsid w:val="631321A0"/>
    <w:rsid w:val="63133F4E"/>
    <w:rsid w:val="63142231"/>
    <w:rsid w:val="63161C64"/>
    <w:rsid w:val="631657EC"/>
    <w:rsid w:val="63192991"/>
    <w:rsid w:val="63195661"/>
    <w:rsid w:val="63195733"/>
    <w:rsid w:val="631B677D"/>
    <w:rsid w:val="632048BD"/>
    <w:rsid w:val="63217E12"/>
    <w:rsid w:val="63226026"/>
    <w:rsid w:val="63267332"/>
    <w:rsid w:val="63290A42"/>
    <w:rsid w:val="63293771"/>
    <w:rsid w:val="632B1962"/>
    <w:rsid w:val="63300ADB"/>
    <w:rsid w:val="633013C5"/>
    <w:rsid w:val="633345F0"/>
    <w:rsid w:val="63350507"/>
    <w:rsid w:val="63350D71"/>
    <w:rsid w:val="633839B4"/>
    <w:rsid w:val="633B0109"/>
    <w:rsid w:val="633C2B1C"/>
    <w:rsid w:val="633D0FCB"/>
    <w:rsid w:val="633F38DE"/>
    <w:rsid w:val="63405923"/>
    <w:rsid w:val="63447075"/>
    <w:rsid w:val="63452778"/>
    <w:rsid w:val="63467BB4"/>
    <w:rsid w:val="63493E13"/>
    <w:rsid w:val="634C56B2"/>
    <w:rsid w:val="635822A8"/>
    <w:rsid w:val="635950FC"/>
    <w:rsid w:val="635A29F5"/>
    <w:rsid w:val="635B6D84"/>
    <w:rsid w:val="635E734D"/>
    <w:rsid w:val="636557D3"/>
    <w:rsid w:val="63656715"/>
    <w:rsid w:val="63660521"/>
    <w:rsid w:val="636C7DC0"/>
    <w:rsid w:val="637073DD"/>
    <w:rsid w:val="63715118"/>
    <w:rsid w:val="6372159E"/>
    <w:rsid w:val="6372479E"/>
    <w:rsid w:val="63754C08"/>
    <w:rsid w:val="63767700"/>
    <w:rsid w:val="637846F9"/>
    <w:rsid w:val="63790CE0"/>
    <w:rsid w:val="6379761D"/>
    <w:rsid w:val="637E2654"/>
    <w:rsid w:val="637F5A87"/>
    <w:rsid w:val="63807067"/>
    <w:rsid w:val="638210D3"/>
    <w:rsid w:val="638257FD"/>
    <w:rsid w:val="63833D30"/>
    <w:rsid w:val="63844E4C"/>
    <w:rsid w:val="63862A7F"/>
    <w:rsid w:val="63863976"/>
    <w:rsid w:val="638D4142"/>
    <w:rsid w:val="638D4E08"/>
    <w:rsid w:val="639015CE"/>
    <w:rsid w:val="63933DA3"/>
    <w:rsid w:val="6394356A"/>
    <w:rsid w:val="63952D25"/>
    <w:rsid w:val="63997AA4"/>
    <w:rsid w:val="639A154D"/>
    <w:rsid w:val="639C3583"/>
    <w:rsid w:val="639F5EAB"/>
    <w:rsid w:val="63A11B78"/>
    <w:rsid w:val="63A1467F"/>
    <w:rsid w:val="63A177AC"/>
    <w:rsid w:val="63A23524"/>
    <w:rsid w:val="63A65B7F"/>
    <w:rsid w:val="63A66B70"/>
    <w:rsid w:val="63A728E8"/>
    <w:rsid w:val="63A86D8C"/>
    <w:rsid w:val="63B002C8"/>
    <w:rsid w:val="63B05FC1"/>
    <w:rsid w:val="63B15A17"/>
    <w:rsid w:val="63B479A0"/>
    <w:rsid w:val="63B52589"/>
    <w:rsid w:val="63B76CE7"/>
    <w:rsid w:val="63BA7363"/>
    <w:rsid w:val="63BC2768"/>
    <w:rsid w:val="63BC2B1C"/>
    <w:rsid w:val="63BD3EBA"/>
    <w:rsid w:val="63BE2753"/>
    <w:rsid w:val="63C35974"/>
    <w:rsid w:val="63C61B2C"/>
    <w:rsid w:val="63C74D38"/>
    <w:rsid w:val="63CA40E4"/>
    <w:rsid w:val="63CB65D6"/>
    <w:rsid w:val="63D01626"/>
    <w:rsid w:val="63D217DB"/>
    <w:rsid w:val="63D25BB7"/>
    <w:rsid w:val="63D40BE9"/>
    <w:rsid w:val="63D61541"/>
    <w:rsid w:val="63D61DF2"/>
    <w:rsid w:val="63D63DC8"/>
    <w:rsid w:val="63D65620"/>
    <w:rsid w:val="63D71235"/>
    <w:rsid w:val="63D877E4"/>
    <w:rsid w:val="63DC6684"/>
    <w:rsid w:val="63DD1169"/>
    <w:rsid w:val="63DD630A"/>
    <w:rsid w:val="63DE512B"/>
    <w:rsid w:val="63E056B1"/>
    <w:rsid w:val="63E42625"/>
    <w:rsid w:val="63E4550C"/>
    <w:rsid w:val="63E479FC"/>
    <w:rsid w:val="63E678B4"/>
    <w:rsid w:val="63ED1FB3"/>
    <w:rsid w:val="63ED6FC7"/>
    <w:rsid w:val="63F57EA6"/>
    <w:rsid w:val="63F7054C"/>
    <w:rsid w:val="63F91396"/>
    <w:rsid w:val="63FC5E57"/>
    <w:rsid w:val="64002DAD"/>
    <w:rsid w:val="64047AA3"/>
    <w:rsid w:val="64061D04"/>
    <w:rsid w:val="64085A7D"/>
    <w:rsid w:val="640B2E77"/>
    <w:rsid w:val="640D22D6"/>
    <w:rsid w:val="640D7E29"/>
    <w:rsid w:val="64102431"/>
    <w:rsid w:val="64117276"/>
    <w:rsid w:val="641431CC"/>
    <w:rsid w:val="641C32D6"/>
    <w:rsid w:val="641C6842"/>
    <w:rsid w:val="641E48DD"/>
    <w:rsid w:val="64201405"/>
    <w:rsid w:val="64260791"/>
    <w:rsid w:val="642D0164"/>
    <w:rsid w:val="642E1181"/>
    <w:rsid w:val="642E6B65"/>
    <w:rsid w:val="64321226"/>
    <w:rsid w:val="64340620"/>
    <w:rsid w:val="64343581"/>
    <w:rsid w:val="64356F47"/>
    <w:rsid w:val="643D35C8"/>
    <w:rsid w:val="64414AEB"/>
    <w:rsid w:val="64447935"/>
    <w:rsid w:val="64453F81"/>
    <w:rsid w:val="644545DB"/>
    <w:rsid w:val="64462101"/>
    <w:rsid w:val="644651CA"/>
    <w:rsid w:val="64481218"/>
    <w:rsid w:val="644A7E43"/>
    <w:rsid w:val="644C3BBB"/>
    <w:rsid w:val="644D11A8"/>
    <w:rsid w:val="644D5BDD"/>
    <w:rsid w:val="644D7933"/>
    <w:rsid w:val="644F0FB6"/>
    <w:rsid w:val="645220D1"/>
    <w:rsid w:val="64526CF8"/>
    <w:rsid w:val="645667E8"/>
    <w:rsid w:val="64583BDF"/>
    <w:rsid w:val="64593189"/>
    <w:rsid w:val="645A3F82"/>
    <w:rsid w:val="645B6A79"/>
    <w:rsid w:val="645B72F3"/>
    <w:rsid w:val="645C4371"/>
    <w:rsid w:val="645C7218"/>
    <w:rsid w:val="645E3FF1"/>
    <w:rsid w:val="64630F05"/>
    <w:rsid w:val="64632847"/>
    <w:rsid w:val="646A4676"/>
    <w:rsid w:val="646F486F"/>
    <w:rsid w:val="64737F9A"/>
    <w:rsid w:val="64767012"/>
    <w:rsid w:val="647924D6"/>
    <w:rsid w:val="647A243C"/>
    <w:rsid w:val="647B7FFD"/>
    <w:rsid w:val="647C5B23"/>
    <w:rsid w:val="647D3FA3"/>
    <w:rsid w:val="648750CD"/>
    <w:rsid w:val="648C0470"/>
    <w:rsid w:val="64923598"/>
    <w:rsid w:val="64925346"/>
    <w:rsid w:val="649671AB"/>
    <w:rsid w:val="64976F17"/>
    <w:rsid w:val="649949CA"/>
    <w:rsid w:val="6499781C"/>
    <w:rsid w:val="649B41FB"/>
    <w:rsid w:val="649D4417"/>
    <w:rsid w:val="649E78C9"/>
    <w:rsid w:val="64A003B6"/>
    <w:rsid w:val="64A31301"/>
    <w:rsid w:val="64A422AB"/>
    <w:rsid w:val="64A5243A"/>
    <w:rsid w:val="64A532CB"/>
    <w:rsid w:val="64A74E70"/>
    <w:rsid w:val="64A77044"/>
    <w:rsid w:val="64AD3F2E"/>
    <w:rsid w:val="64B358DB"/>
    <w:rsid w:val="64B67332"/>
    <w:rsid w:val="64B82FFF"/>
    <w:rsid w:val="64B85EFA"/>
    <w:rsid w:val="64BA62B7"/>
    <w:rsid w:val="64BC134D"/>
    <w:rsid w:val="64BD3326"/>
    <w:rsid w:val="64BF7122"/>
    <w:rsid w:val="64C03633"/>
    <w:rsid w:val="64C03C61"/>
    <w:rsid w:val="64C05521"/>
    <w:rsid w:val="64C85E95"/>
    <w:rsid w:val="64C96D19"/>
    <w:rsid w:val="64CA6FED"/>
    <w:rsid w:val="64CB2E88"/>
    <w:rsid w:val="64CD45D0"/>
    <w:rsid w:val="64CF7AE9"/>
    <w:rsid w:val="64D02473"/>
    <w:rsid w:val="64D67929"/>
    <w:rsid w:val="64DB3627"/>
    <w:rsid w:val="64DC3CEB"/>
    <w:rsid w:val="64DC55F4"/>
    <w:rsid w:val="64DC7A27"/>
    <w:rsid w:val="64DD7A54"/>
    <w:rsid w:val="64E02555"/>
    <w:rsid w:val="64E06E7C"/>
    <w:rsid w:val="64E262CE"/>
    <w:rsid w:val="64E3127F"/>
    <w:rsid w:val="64E32A5D"/>
    <w:rsid w:val="64E53367"/>
    <w:rsid w:val="64E75692"/>
    <w:rsid w:val="64E8497C"/>
    <w:rsid w:val="64EE3DF3"/>
    <w:rsid w:val="64EF4547"/>
    <w:rsid w:val="64F41B5D"/>
    <w:rsid w:val="64F45CC6"/>
    <w:rsid w:val="64F46001"/>
    <w:rsid w:val="64F531DE"/>
    <w:rsid w:val="64F93617"/>
    <w:rsid w:val="64FD403C"/>
    <w:rsid w:val="64FE7803"/>
    <w:rsid w:val="65016255"/>
    <w:rsid w:val="65037FF2"/>
    <w:rsid w:val="650417B4"/>
    <w:rsid w:val="65044060"/>
    <w:rsid w:val="65046244"/>
    <w:rsid w:val="65053D6A"/>
    <w:rsid w:val="65055FCC"/>
    <w:rsid w:val="65067173"/>
    <w:rsid w:val="65080C72"/>
    <w:rsid w:val="651421FF"/>
    <w:rsid w:val="65165F77"/>
    <w:rsid w:val="65172E65"/>
    <w:rsid w:val="651E0283"/>
    <w:rsid w:val="65232C4C"/>
    <w:rsid w:val="652376D5"/>
    <w:rsid w:val="652616BF"/>
    <w:rsid w:val="65273A48"/>
    <w:rsid w:val="652958E2"/>
    <w:rsid w:val="65295B0B"/>
    <w:rsid w:val="652965B1"/>
    <w:rsid w:val="652E3C0F"/>
    <w:rsid w:val="652F2275"/>
    <w:rsid w:val="652F7039"/>
    <w:rsid w:val="65312EA9"/>
    <w:rsid w:val="6533183C"/>
    <w:rsid w:val="65332685"/>
    <w:rsid w:val="65336B29"/>
    <w:rsid w:val="653528A1"/>
    <w:rsid w:val="65373578"/>
    <w:rsid w:val="65384140"/>
    <w:rsid w:val="653B59DE"/>
    <w:rsid w:val="653D1756"/>
    <w:rsid w:val="653D1D95"/>
    <w:rsid w:val="65426D6C"/>
    <w:rsid w:val="65432F1A"/>
    <w:rsid w:val="65474383"/>
    <w:rsid w:val="65492969"/>
    <w:rsid w:val="6549634D"/>
    <w:rsid w:val="654A1084"/>
    <w:rsid w:val="654A1D95"/>
    <w:rsid w:val="654A70D5"/>
    <w:rsid w:val="654B047F"/>
    <w:rsid w:val="65501489"/>
    <w:rsid w:val="65511CBF"/>
    <w:rsid w:val="65516386"/>
    <w:rsid w:val="65526141"/>
    <w:rsid w:val="65540BF8"/>
    <w:rsid w:val="65556AA0"/>
    <w:rsid w:val="65580C09"/>
    <w:rsid w:val="65600494"/>
    <w:rsid w:val="656204E0"/>
    <w:rsid w:val="65622EBE"/>
    <w:rsid w:val="65631E72"/>
    <w:rsid w:val="65642C53"/>
    <w:rsid w:val="65656879"/>
    <w:rsid w:val="656573CD"/>
    <w:rsid w:val="65660CAD"/>
    <w:rsid w:val="65672C2C"/>
    <w:rsid w:val="656B46CF"/>
    <w:rsid w:val="656E7B61"/>
    <w:rsid w:val="656F7418"/>
    <w:rsid w:val="6575283C"/>
    <w:rsid w:val="65780B77"/>
    <w:rsid w:val="65785C13"/>
    <w:rsid w:val="657A5E04"/>
    <w:rsid w:val="657E4776"/>
    <w:rsid w:val="657E7466"/>
    <w:rsid w:val="657F1F9A"/>
    <w:rsid w:val="657F34F2"/>
    <w:rsid w:val="65802457"/>
    <w:rsid w:val="65803C24"/>
    <w:rsid w:val="658630FD"/>
    <w:rsid w:val="658C6239"/>
    <w:rsid w:val="658E5B0E"/>
    <w:rsid w:val="65912303"/>
    <w:rsid w:val="65924CA9"/>
    <w:rsid w:val="65974F89"/>
    <w:rsid w:val="65975F64"/>
    <w:rsid w:val="65977D7A"/>
    <w:rsid w:val="6598202C"/>
    <w:rsid w:val="65992DD9"/>
    <w:rsid w:val="659A175A"/>
    <w:rsid w:val="659E2361"/>
    <w:rsid w:val="65A32AB6"/>
    <w:rsid w:val="65A55BAD"/>
    <w:rsid w:val="65A74E21"/>
    <w:rsid w:val="65A82F7F"/>
    <w:rsid w:val="65AC2438"/>
    <w:rsid w:val="65AC3864"/>
    <w:rsid w:val="65AE016F"/>
    <w:rsid w:val="65AE5BFE"/>
    <w:rsid w:val="65B13800"/>
    <w:rsid w:val="65B16B94"/>
    <w:rsid w:val="65B337C6"/>
    <w:rsid w:val="65B37C6A"/>
    <w:rsid w:val="65B6655E"/>
    <w:rsid w:val="65B71508"/>
    <w:rsid w:val="65B92CC9"/>
    <w:rsid w:val="65BA6903"/>
    <w:rsid w:val="65BD1E41"/>
    <w:rsid w:val="65BE15C1"/>
    <w:rsid w:val="65C11375"/>
    <w:rsid w:val="65C12582"/>
    <w:rsid w:val="65C14135"/>
    <w:rsid w:val="65C21C5B"/>
    <w:rsid w:val="65C221DA"/>
    <w:rsid w:val="65C37933"/>
    <w:rsid w:val="65CE23AE"/>
    <w:rsid w:val="65D775C0"/>
    <w:rsid w:val="65D80A86"/>
    <w:rsid w:val="65DC0F6F"/>
    <w:rsid w:val="65DD7EA3"/>
    <w:rsid w:val="65E04018"/>
    <w:rsid w:val="65E676F8"/>
    <w:rsid w:val="65ED3EBD"/>
    <w:rsid w:val="65F07086"/>
    <w:rsid w:val="65F17291"/>
    <w:rsid w:val="65F510DF"/>
    <w:rsid w:val="65F61D10"/>
    <w:rsid w:val="65F674B0"/>
    <w:rsid w:val="65F92429"/>
    <w:rsid w:val="65F97EB8"/>
    <w:rsid w:val="65FA13F5"/>
    <w:rsid w:val="65FA7D07"/>
    <w:rsid w:val="65FB4259"/>
    <w:rsid w:val="65FF07B9"/>
    <w:rsid w:val="66021EC4"/>
    <w:rsid w:val="66042274"/>
    <w:rsid w:val="66072AEA"/>
    <w:rsid w:val="6607460A"/>
    <w:rsid w:val="66083B12"/>
    <w:rsid w:val="66086ADB"/>
    <w:rsid w:val="66092590"/>
    <w:rsid w:val="660A1AFA"/>
    <w:rsid w:val="660A6A5F"/>
    <w:rsid w:val="660E5B28"/>
    <w:rsid w:val="66114ABD"/>
    <w:rsid w:val="66130A5F"/>
    <w:rsid w:val="66147BDD"/>
    <w:rsid w:val="66164C13"/>
    <w:rsid w:val="661A0DCC"/>
    <w:rsid w:val="661D4A73"/>
    <w:rsid w:val="661E56B0"/>
    <w:rsid w:val="662340D6"/>
    <w:rsid w:val="6624008E"/>
    <w:rsid w:val="66255669"/>
    <w:rsid w:val="66280298"/>
    <w:rsid w:val="662A2AFF"/>
    <w:rsid w:val="662C0530"/>
    <w:rsid w:val="662F6008"/>
    <w:rsid w:val="662F72F1"/>
    <w:rsid w:val="66317DA6"/>
    <w:rsid w:val="66326DE1"/>
    <w:rsid w:val="663366B5"/>
    <w:rsid w:val="6635067F"/>
    <w:rsid w:val="663658B2"/>
    <w:rsid w:val="663A67DB"/>
    <w:rsid w:val="663C37BC"/>
    <w:rsid w:val="663C78FF"/>
    <w:rsid w:val="663E7534"/>
    <w:rsid w:val="66421DB0"/>
    <w:rsid w:val="66424C4C"/>
    <w:rsid w:val="66471729"/>
    <w:rsid w:val="66490701"/>
    <w:rsid w:val="66490E8D"/>
    <w:rsid w:val="664B5789"/>
    <w:rsid w:val="664D3AFC"/>
    <w:rsid w:val="66502142"/>
    <w:rsid w:val="66551E9C"/>
    <w:rsid w:val="666110E4"/>
    <w:rsid w:val="66611474"/>
    <w:rsid w:val="666351EC"/>
    <w:rsid w:val="66636F9A"/>
    <w:rsid w:val="66660838"/>
    <w:rsid w:val="666A08A8"/>
    <w:rsid w:val="666B29FF"/>
    <w:rsid w:val="666E48CA"/>
    <w:rsid w:val="666E48FE"/>
    <w:rsid w:val="66726157"/>
    <w:rsid w:val="66743BE4"/>
    <w:rsid w:val="66770C2E"/>
    <w:rsid w:val="667A34D2"/>
    <w:rsid w:val="667C005C"/>
    <w:rsid w:val="667D6EE6"/>
    <w:rsid w:val="6680501B"/>
    <w:rsid w:val="6681478B"/>
    <w:rsid w:val="66846F11"/>
    <w:rsid w:val="66875C95"/>
    <w:rsid w:val="668D2269"/>
    <w:rsid w:val="668D5C2B"/>
    <w:rsid w:val="668D70EF"/>
    <w:rsid w:val="668D76E3"/>
    <w:rsid w:val="668F2322"/>
    <w:rsid w:val="668F4A03"/>
    <w:rsid w:val="66920576"/>
    <w:rsid w:val="669258CF"/>
    <w:rsid w:val="6693324C"/>
    <w:rsid w:val="66990438"/>
    <w:rsid w:val="669B52F9"/>
    <w:rsid w:val="669C425A"/>
    <w:rsid w:val="669E4476"/>
    <w:rsid w:val="66A36401"/>
    <w:rsid w:val="66A4017D"/>
    <w:rsid w:val="66A55257"/>
    <w:rsid w:val="66A55799"/>
    <w:rsid w:val="66A949D6"/>
    <w:rsid w:val="66AD77AF"/>
    <w:rsid w:val="66AE01A6"/>
    <w:rsid w:val="66AF4188"/>
    <w:rsid w:val="66B319C7"/>
    <w:rsid w:val="66B35B42"/>
    <w:rsid w:val="66B64F03"/>
    <w:rsid w:val="66BE2423"/>
    <w:rsid w:val="66BF6349"/>
    <w:rsid w:val="66C134D8"/>
    <w:rsid w:val="66C64A95"/>
    <w:rsid w:val="66C82E6C"/>
    <w:rsid w:val="66C9170F"/>
    <w:rsid w:val="66C9334E"/>
    <w:rsid w:val="66C95646"/>
    <w:rsid w:val="66CA0555"/>
    <w:rsid w:val="66CD49A5"/>
    <w:rsid w:val="66CE1AD9"/>
    <w:rsid w:val="66CF1CE3"/>
    <w:rsid w:val="66CF5BB3"/>
    <w:rsid w:val="66D03326"/>
    <w:rsid w:val="66D31D68"/>
    <w:rsid w:val="66D74F4C"/>
    <w:rsid w:val="66DB0439"/>
    <w:rsid w:val="66DF6FB2"/>
    <w:rsid w:val="66E06FC8"/>
    <w:rsid w:val="66E1423B"/>
    <w:rsid w:val="66E520A5"/>
    <w:rsid w:val="66EA2B6F"/>
    <w:rsid w:val="66EE0F20"/>
    <w:rsid w:val="66EF6A80"/>
    <w:rsid w:val="66F3604C"/>
    <w:rsid w:val="66F37636"/>
    <w:rsid w:val="66F5302E"/>
    <w:rsid w:val="66F75934"/>
    <w:rsid w:val="66F82ECA"/>
    <w:rsid w:val="66F916AD"/>
    <w:rsid w:val="66FB4E75"/>
    <w:rsid w:val="66FC5E71"/>
    <w:rsid w:val="66FD3DAD"/>
    <w:rsid w:val="670104C5"/>
    <w:rsid w:val="67044CF4"/>
    <w:rsid w:val="670E5B29"/>
    <w:rsid w:val="670F209B"/>
    <w:rsid w:val="67110515"/>
    <w:rsid w:val="6712276E"/>
    <w:rsid w:val="67124D8D"/>
    <w:rsid w:val="67131ECE"/>
    <w:rsid w:val="67144738"/>
    <w:rsid w:val="67145C6E"/>
    <w:rsid w:val="6715088E"/>
    <w:rsid w:val="6716225F"/>
    <w:rsid w:val="67191D4F"/>
    <w:rsid w:val="67193AFD"/>
    <w:rsid w:val="671F124A"/>
    <w:rsid w:val="67222E1C"/>
    <w:rsid w:val="67242BCD"/>
    <w:rsid w:val="672A5D0A"/>
    <w:rsid w:val="672C047C"/>
    <w:rsid w:val="672C3449"/>
    <w:rsid w:val="672C7CD4"/>
    <w:rsid w:val="67325CB1"/>
    <w:rsid w:val="67346C19"/>
    <w:rsid w:val="67393B65"/>
    <w:rsid w:val="673A308F"/>
    <w:rsid w:val="673A34C5"/>
    <w:rsid w:val="673B33CB"/>
    <w:rsid w:val="673B7F17"/>
    <w:rsid w:val="673E54E3"/>
    <w:rsid w:val="67424E02"/>
    <w:rsid w:val="67425E14"/>
    <w:rsid w:val="674548F2"/>
    <w:rsid w:val="6747615F"/>
    <w:rsid w:val="67497DB9"/>
    <w:rsid w:val="674A63AC"/>
    <w:rsid w:val="674C042D"/>
    <w:rsid w:val="674C7819"/>
    <w:rsid w:val="6750649C"/>
    <w:rsid w:val="67530272"/>
    <w:rsid w:val="675442CF"/>
    <w:rsid w:val="67551D29"/>
    <w:rsid w:val="67564D51"/>
    <w:rsid w:val="67594B86"/>
    <w:rsid w:val="675C1F50"/>
    <w:rsid w:val="675D1C3B"/>
    <w:rsid w:val="675E17DF"/>
    <w:rsid w:val="675E7762"/>
    <w:rsid w:val="676034DA"/>
    <w:rsid w:val="67654F94"/>
    <w:rsid w:val="67672ABA"/>
    <w:rsid w:val="67676B23"/>
    <w:rsid w:val="676A25AA"/>
    <w:rsid w:val="676A6106"/>
    <w:rsid w:val="676B07FC"/>
    <w:rsid w:val="676B5244"/>
    <w:rsid w:val="676C6322"/>
    <w:rsid w:val="676E209B"/>
    <w:rsid w:val="676E5B4C"/>
    <w:rsid w:val="676F7BC1"/>
    <w:rsid w:val="677463A0"/>
    <w:rsid w:val="677522D6"/>
    <w:rsid w:val="67760F4F"/>
    <w:rsid w:val="67787D13"/>
    <w:rsid w:val="677A33C6"/>
    <w:rsid w:val="677C4B12"/>
    <w:rsid w:val="678322D7"/>
    <w:rsid w:val="67874F0A"/>
    <w:rsid w:val="67880922"/>
    <w:rsid w:val="678909F8"/>
    <w:rsid w:val="67892A30"/>
    <w:rsid w:val="678E44EB"/>
    <w:rsid w:val="678F118B"/>
    <w:rsid w:val="67923636"/>
    <w:rsid w:val="679338AF"/>
    <w:rsid w:val="67957627"/>
    <w:rsid w:val="679A18F7"/>
    <w:rsid w:val="679B69ED"/>
    <w:rsid w:val="679C416D"/>
    <w:rsid w:val="679F2BB7"/>
    <w:rsid w:val="67A10C04"/>
    <w:rsid w:val="67A127B9"/>
    <w:rsid w:val="67A36984"/>
    <w:rsid w:val="67A37331"/>
    <w:rsid w:val="67A50997"/>
    <w:rsid w:val="67A64F4B"/>
    <w:rsid w:val="67A802D6"/>
    <w:rsid w:val="67A94045"/>
    <w:rsid w:val="67AA29A7"/>
    <w:rsid w:val="67B04B31"/>
    <w:rsid w:val="67B26401"/>
    <w:rsid w:val="67B54588"/>
    <w:rsid w:val="67B57CC9"/>
    <w:rsid w:val="67B6134C"/>
    <w:rsid w:val="67B71250"/>
    <w:rsid w:val="67BC6406"/>
    <w:rsid w:val="67BD2A93"/>
    <w:rsid w:val="67C455CF"/>
    <w:rsid w:val="67C577E1"/>
    <w:rsid w:val="67C61B36"/>
    <w:rsid w:val="67C65625"/>
    <w:rsid w:val="67C72A23"/>
    <w:rsid w:val="67C73559"/>
    <w:rsid w:val="67C84992"/>
    <w:rsid w:val="67C860B0"/>
    <w:rsid w:val="67C9107F"/>
    <w:rsid w:val="67C92A9B"/>
    <w:rsid w:val="67C972D1"/>
    <w:rsid w:val="67D537EE"/>
    <w:rsid w:val="67D61396"/>
    <w:rsid w:val="67D61813"/>
    <w:rsid w:val="67DC0565"/>
    <w:rsid w:val="67E2760A"/>
    <w:rsid w:val="67E83794"/>
    <w:rsid w:val="67EC04C6"/>
    <w:rsid w:val="67ED7463"/>
    <w:rsid w:val="67EE6D37"/>
    <w:rsid w:val="67F0485E"/>
    <w:rsid w:val="67F07B5B"/>
    <w:rsid w:val="67F14A77"/>
    <w:rsid w:val="67F21BC7"/>
    <w:rsid w:val="67F547F9"/>
    <w:rsid w:val="67F60DFC"/>
    <w:rsid w:val="67F81964"/>
    <w:rsid w:val="67F86B41"/>
    <w:rsid w:val="67FA231B"/>
    <w:rsid w:val="680200CB"/>
    <w:rsid w:val="68031135"/>
    <w:rsid w:val="68032A2E"/>
    <w:rsid w:val="6804655B"/>
    <w:rsid w:val="68067009"/>
    <w:rsid w:val="68084ED7"/>
    <w:rsid w:val="680C2405"/>
    <w:rsid w:val="680C4C52"/>
    <w:rsid w:val="680D18B3"/>
    <w:rsid w:val="680F23B8"/>
    <w:rsid w:val="680F7EC3"/>
    <w:rsid w:val="68106986"/>
    <w:rsid w:val="68150768"/>
    <w:rsid w:val="681579C4"/>
    <w:rsid w:val="6817003C"/>
    <w:rsid w:val="68187C38"/>
    <w:rsid w:val="681A5D7E"/>
    <w:rsid w:val="681A749F"/>
    <w:rsid w:val="681B7D03"/>
    <w:rsid w:val="681E609B"/>
    <w:rsid w:val="681F3395"/>
    <w:rsid w:val="681F46DA"/>
    <w:rsid w:val="681F6961"/>
    <w:rsid w:val="68230A8D"/>
    <w:rsid w:val="68246BFD"/>
    <w:rsid w:val="68272F3B"/>
    <w:rsid w:val="682B230A"/>
    <w:rsid w:val="682B3AE8"/>
    <w:rsid w:val="682B5E67"/>
    <w:rsid w:val="682E7AFD"/>
    <w:rsid w:val="68304019"/>
    <w:rsid w:val="6832131A"/>
    <w:rsid w:val="68340728"/>
    <w:rsid w:val="68365553"/>
    <w:rsid w:val="68405D92"/>
    <w:rsid w:val="6841626F"/>
    <w:rsid w:val="68420E0C"/>
    <w:rsid w:val="68431182"/>
    <w:rsid w:val="68572592"/>
    <w:rsid w:val="685B19E9"/>
    <w:rsid w:val="685F7C35"/>
    <w:rsid w:val="68601FBF"/>
    <w:rsid w:val="68610A2F"/>
    <w:rsid w:val="686139AD"/>
    <w:rsid w:val="6865707D"/>
    <w:rsid w:val="68684D3C"/>
    <w:rsid w:val="686A0FF1"/>
    <w:rsid w:val="686D52C3"/>
    <w:rsid w:val="686E4E9E"/>
    <w:rsid w:val="68752646"/>
    <w:rsid w:val="68790CF7"/>
    <w:rsid w:val="687A05CB"/>
    <w:rsid w:val="687C3296"/>
    <w:rsid w:val="687F415D"/>
    <w:rsid w:val="68800FBC"/>
    <w:rsid w:val="68805514"/>
    <w:rsid w:val="688154A3"/>
    <w:rsid w:val="688349F7"/>
    <w:rsid w:val="6885472F"/>
    <w:rsid w:val="68892749"/>
    <w:rsid w:val="688C1EC1"/>
    <w:rsid w:val="68930513"/>
    <w:rsid w:val="68971BF7"/>
    <w:rsid w:val="689773CF"/>
    <w:rsid w:val="689939ED"/>
    <w:rsid w:val="68994EF5"/>
    <w:rsid w:val="689A0C6D"/>
    <w:rsid w:val="689A2A1B"/>
    <w:rsid w:val="689A6774"/>
    <w:rsid w:val="68A37D8E"/>
    <w:rsid w:val="68A815DC"/>
    <w:rsid w:val="68A8257E"/>
    <w:rsid w:val="68A85CB1"/>
    <w:rsid w:val="68AB493B"/>
    <w:rsid w:val="68AB4C36"/>
    <w:rsid w:val="68B00491"/>
    <w:rsid w:val="68B26589"/>
    <w:rsid w:val="68B4126F"/>
    <w:rsid w:val="68B57725"/>
    <w:rsid w:val="68B82181"/>
    <w:rsid w:val="68BB19A5"/>
    <w:rsid w:val="68C0125C"/>
    <w:rsid w:val="68C27F38"/>
    <w:rsid w:val="68C85B50"/>
    <w:rsid w:val="68CA50AF"/>
    <w:rsid w:val="68CF0917"/>
    <w:rsid w:val="68CF4DBB"/>
    <w:rsid w:val="68CF6B69"/>
    <w:rsid w:val="68D0515A"/>
    <w:rsid w:val="68D66E55"/>
    <w:rsid w:val="68DD0499"/>
    <w:rsid w:val="68E07629"/>
    <w:rsid w:val="68E50599"/>
    <w:rsid w:val="68E51EE8"/>
    <w:rsid w:val="68E84BB5"/>
    <w:rsid w:val="68EA3216"/>
    <w:rsid w:val="68EA3CEC"/>
    <w:rsid w:val="68EB1197"/>
    <w:rsid w:val="68ED3493"/>
    <w:rsid w:val="69004F74"/>
    <w:rsid w:val="69026F3E"/>
    <w:rsid w:val="6908683E"/>
    <w:rsid w:val="690A11E7"/>
    <w:rsid w:val="690D7691"/>
    <w:rsid w:val="690F3E48"/>
    <w:rsid w:val="691374EC"/>
    <w:rsid w:val="69140A20"/>
    <w:rsid w:val="69146C72"/>
    <w:rsid w:val="69192849"/>
    <w:rsid w:val="691C23FD"/>
    <w:rsid w:val="691C78D4"/>
    <w:rsid w:val="691D1CF9"/>
    <w:rsid w:val="691D5B26"/>
    <w:rsid w:val="691E58B2"/>
    <w:rsid w:val="691F15AB"/>
    <w:rsid w:val="69206CB3"/>
    <w:rsid w:val="69210D55"/>
    <w:rsid w:val="69216C99"/>
    <w:rsid w:val="69224EEB"/>
    <w:rsid w:val="6925453E"/>
    <w:rsid w:val="69274A9A"/>
    <w:rsid w:val="692C58E1"/>
    <w:rsid w:val="692C69B4"/>
    <w:rsid w:val="692F7608"/>
    <w:rsid w:val="69305BDB"/>
    <w:rsid w:val="693060CB"/>
    <w:rsid w:val="69316DA6"/>
    <w:rsid w:val="69316E2F"/>
    <w:rsid w:val="69333865"/>
    <w:rsid w:val="6934747A"/>
    <w:rsid w:val="69350202"/>
    <w:rsid w:val="69350819"/>
    <w:rsid w:val="693F2DEC"/>
    <w:rsid w:val="693F5E98"/>
    <w:rsid w:val="694035C3"/>
    <w:rsid w:val="69423360"/>
    <w:rsid w:val="6942547C"/>
    <w:rsid w:val="694439A8"/>
    <w:rsid w:val="694C025D"/>
    <w:rsid w:val="694C720D"/>
    <w:rsid w:val="694E2071"/>
    <w:rsid w:val="694F3806"/>
    <w:rsid w:val="69503A11"/>
    <w:rsid w:val="69517E52"/>
    <w:rsid w:val="69520CAF"/>
    <w:rsid w:val="69534793"/>
    <w:rsid w:val="69573341"/>
    <w:rsid w:val="69586875"/>
    <w:rsid w:val="69591DF9"/>
    <w:rsid w:val="695D4175"/>
    <w:rsid w:val="695D7B90"/>
    <w:rsid w:val="695F613F"/>
    <w:rsid w:val="69626678"/>
    <w:rsid w:val="696A2B25"/>
    <w:rsid w:val="696C260A"/>
    <w:rsid w:val="696D7421"/>
    <w:rsid w:val="697141C0"/>
    <w:rsid w:val="69730B64"/>
    <w:rsid w:val="69731B8B"/>
    <w:rsid w:val="6974326C"/>
    <w:rsid w:val="69756533"/>
    <w:rsid w:val="6975673A"/>
    <w:rsid w:val="69766163"/>
    <w:rsid w:val="6976772C"/>
    <w:rsid w:val="69772F06"/>
    <w:rsid w:val="697A3B33"/>
    <w:rsid w:val="697B45FB"/>
    <w:rsid w:val="697B5DCF"/>
    <w:rsid w:val="697F058F"/>
    <w:rsid w:val="697F1612"/>
    <w:rsid w:val="697F6509"/>
    <w:rsid w:val="69821E2D"/>
    <w:rsid w:val="69823BDB"/>
    <w:rsid w:val="69896E7B"/>
    <w:rsid w:val="698B48ED"/>
    <w:rsid w:val="698F16D4"/>
    <w:rsid w:val="69967687"/>
    <w:rsid w:val="69972FD2"/>
    <w:rsid w:val="69991C88"/>
    <w:rsid w:val="69992CD3"/>
    <w:rsid w:val="699B6280"/>
    <w:rsid w:val="69A022B3"/>
    <w:rsid w:val="69A11AF8"/>
    <w:rsid w:val="69A13283"/>
    <w:rsid w:val="69A138FE"/>
    <w:rsid w:val="69A65890"/>
    <w:rsid w:val="69A70EE8"/>
    <w:rsid w:val="69A8662B"/>
    <w:rsid w:val="69A9560C"/>
    <w:rsid w:val="69AB1B2C"/>
    <w:rsid w:val="69AC4239"/>
    <w:rsid w:val="69AD2F92"/>
    <w:rsid w:val="69AE142D"/>
    <w:rsid w:val="69B0554A"/>
    <w:rsid w:val="69B10FE9"/>
    <w:rsid w:val="69B144C0"/>
    <w:rsid w:val="69B14789"/>
    <w:rsid w:val="69B25F26"/>
    <w:rsid w:val="69B6523A"/>
    <w:rsid w:val="69BB7EAF"/>
    <w:rsid w:val="69BC7573"/>
    <w:rsid w:val="69BF4D86"/>
    <w:rsid w:val="69C61FB9"/>
    <w:rsid w:val="69C75A92"/>
    <w:rsid w:val="69C91840"/>
    <w:rsid w:val="69CE0BCF"/>
    <w:rsid w:val="69CF061C"/>
    <w:rsid w:val="69CF2DAF"/>
    <w:rsid w:val="69D106BF"/>
    <w:rsid w:val="69D16559"/>
    <w:rsid w:val="69D32689"/>
    <w:rsid w:val="69D44760"/>
    <w:rsid w:val="69D44C16"/>
    <w:rsid w:val="69D87C9F"/>
    <w:rsid w:val="69D87F86"/>
    <w:rsid w:val="69DF33FB"/>
    <w:rsid w:val="69E05034"/>
    <w:rsid w:val="69E14AAE"/>
    <w:rsid w:val="69E14DA6"/>
    <w:rsid w:val="69E3417D"/>
    <w:rsid w:val="69E43F82"/>
    <w:rsid w:val="69E44896"/>
    <w:rsid w:val="69E6093C"/>
    <w:rsid w:val="69E74631"/>
    <w:rsid w:val="69E91D26"/>
    <w:rsid w:val="69E91EAC"/>
    <w:rsid w:val="69EC54F9"/>
    <w:rsid w:val="69EE54F6"/>
    <w:rsid w:val="69F16143"/>
    <w:rsid w:val="69F50851"/>
    <w:rsid w:val="69F61501"/>
    <w:rsid w:val="69F617CE"/>
    <w:rsid w:val="69F66F81"/>
    <w:rsid w:val="69F77A50"/>
    <w:rsid w:val="69FF52F0"/>
    <w:rsid w:val="6A0445F0"/>
    <w:rsid w:val="6A052392"/>
    <w:rsid w:val="6A090D5D"/>
    <w:rsid w:val="6A0B1E23"/>
    <w:rsid w:val="6A0E3D62"/>
    <w:rsid w:val="6A112FD7"/>
    <w:rsid w:val="6A114F5F"/>
    <w:rsid w:val="6A123E9C"/>
    <w:rsid w:val="6A1327BB"/>
    <w:rsid w:val="6A135049"/>
    <w:rsid w:val="6A162576"/>
    <w:rsid w:val="6A164FC4"/>
    <w:rsid w:val="6A1862EE"/>
    <w:rsid w:val="6A186634"/>
    <w:rsid w:val="6A1A2066"/>
    <w:rsid w:val="6A1B06CD"/>
    <w:rsid w:val="6A1B780C"/>
    <w:rsid w:val="6A1B7B8C"/>
    <w:rsid w:val="6A1D46F7"/>
    <w:rsid w:val="6A1D56B2"/>
    <w:rsid w:val="6A233E1B"/>
    <w:rsid w:val="6A236A13"/>
    <w:rsid w:val="6A2536BA"/>
    <w:rsid w:val="6A267D63"/>
    <w:rsid w:val="6A2744E2"/>
    <w:rsid w:val="6A276531"/>
    <w:rsid w:val="6A283551"/>
    <w:rsid w:val="6A2B1EDF"/>
    <w:rsid w:val="6A2E3D63"/>
    <w:rsid w:val="6A2E78BF"/>
    <w:rsid w:val="6A2E7DDB"/>
    <w:rsid w:val="6A310DC4"/>
    <w:rsid w:val="6A342EDC"/>
    <w:rsid w:val="6A354889"/>
    <w:rsid w:val="6A3550F2"/>
    <w:rsid w:val="6A374A50"/>
    <w:rsid w:val="6A3B1281"/>
    <w:rsid w:val="6A3D27DD"/>
    <w:rsid w:val="6A3F39A6"/>
    <w:rsid w:val="6A425119"/>
    <w:rsid w:val="6A4470E3"/>
    <w:rsid w:val="6A4610AD"/>
    <w:rsid w:val="6A462E5B"/>
    <w:rsid w:val="6A477040"/>
    <w:rsid w:val="6A486BD3"/>
    <w:rsid w:val="6A49003E"/>
    <w:rsid w:val="6A4964A7"/>
    <w:rsid w:val="6A4A0DC9"/>
    <w:rsid w:val="6A4D743A"/>
    <w:rsid w:val="6A4E6808"/>
    <w:rsid w:val="6A505A87"/>
    <w:rsid w:val="6A513626"/>
    <w:rsid w:val="6A514364"/>
    <w:rsid w:val="6A520EC7"/>
    <w:rsid w:val="6A5224AC"/>
    <w:rsid w:val="6A550C69"/>
    <w:rsid w:val="6A5B669D"/>
    <w:rsid w:val="6A5F4E2D"/>
    <w:rsid w:val="6A6174F2"/>
    <w:rsid w:val="6A6939E7"/>
    <w:rsid w:val="6A694826"/>
    <w:rsid w:val="6A6B28C1"/>
    <w:rsid w:val="6A6D6639"/>
    <w:rsid w:val="6A6E23B2"/>
    <w:rsid w:val="6A794715"/>
    <w:rsid w:val="6A7A2B04"/>
    <w:rsid w:val="6A7C7DDD"/>
    <w:rsid w:val="6A7D2066"/>
    <w:rsid w:val="6A7D55C9"/>
    <w:rsid w:val="6A813E48"/>
    <w:rsid w:val="6A8219B9"/>
    <w:rsid w:val="6A835F69"/>
    <w:rsid w:val="6A855F85"/>
    <w:rsid w:val="6A873C39"/>
    <w:rsid w:val="6A8753E5"/>
    <w:rsid w:val="6A87597D"/>
    <w:rsid w:val="6A883CBC"/>
    <w:rsid w:val="6A892D47"/>
    <w:rsid w:val="6A897D37"/>
    <w:rsid w:val="6A8B6AC0"/>
    <w:rsid w:val="6A8D126F"/>
    <w:rsid w:val="6A90057A"/>
    <w:rsid w:val="6A9260A0"/>
    <w:rsid w:val="6A94006A"/>
    <w:rsid w:val="6A94053A"/>
    <w:rsid w:val="6A946A4B"/>
    <w:rsid w:val="6A964B03"/>
    <w:rsid w:val="6A975464"/>
    <w:rsid w:val="6A9820D0"/>
    <w:rsid w:val="6A9847DB"/>
    <w:rsid w:val="6A9F07BD"/>
    <w:rsid w:val="6AA42710"/>
    <w:rsid w:val="6AA458F3"/>
    <w:rsid w:val="6AA84FF7"/>
    <w:rsid w:val="6AA858C3"/>
    <w:rsid w:val="6AA95198"/>
    <w:rsid w:val="6AAA68BF"/>
    <w:rsid w:val="6AAB0F10"/>
    <w:rsid w:val="6AB1051C"/>
    <w:rsid w:val="6AB20BF7"/>
    <w:rsid w:val="6AB24A5F"/>
    <w:rsid w:val="6AB75669"/>
    <w:rsid w:val="6ABB10A0"/>
    <w:rsid w:val="6ABE0C20"/>
    <w:rsid w:val="6ABE50E7"/>
    <w:rsid w:val="6AC3666E"/>
    <w:rsid w:val="6AC52F3B"/>
    <w:rsid w:val="6ACC0D1D"/>
    <w:rsid w:val="6ACE43D9"/>
    <w:rsid w:val="6ACE4BFE"/>
    <w:rsid w:val="6ACF2E50"/>
    <w:rsid w:val="6AD10DB4"/>
    <w:rsid w:val="6AD11580"/>
    <w:rsid w:val="6AD274C8"/>
    <w:rsid w:val="6AD37D33"/>
    <w:rsid w:val="6AD92CE0"/>
    <w:rsid w:val="6ADB05BF"/>
    <w:rsid w:val="6ADC0E17"/>
    <w:rsid w:val="6ADD1920"/>
    <w:rsid w:val="6ADD7301"/>
    <w:rsid w:val="6ADF3CA9"/>
    <w:rsid w:val="6AE10DD5"/>
    <w:rsid w:val="6AE27497"/>
    <w:rsid w:val="6AE508C6"/>
    <w:rsid w:val="6AE52674"/>
    <w:rsid w:val="6AE53037"/>
    <w:rsid w:val="6AE638B6"/>
    <w:rsid w:val="6AE82976"/>
    <w:rsid w:val="6AE83F12"/>
    <w:rsid w:val="6AE92550"/>
    <w:rsid w:val="6AE93058"/>
    <w:rsid w:val="6AEF716A"/>
    <w:rsid w:val="6AF113AC"/>
    <w:rsid w:val="6AF32AE2"/>
    <w:rsid w:val="6AF334EB"/>
    <w:rsid w:val="6AF6252B"/>
    <w:rsid w:val="6AF86107"/>
    <w:rsid w:val="6AF87E20"/>
    <w:rsid w:val="6AFF5B29"/>
    <w:rsid w:val="6B01156D"/>
    <w:rsid w:val="6B030D4C"/>
    <w:rsid w:val="6B057D13"/>
    <w:rsid w:val="6B0A0EE2"/>
    <w:rsid w:val="6B0B1856"/>
    <w:rsid w:val="6B0D1BCA"/>
    <w:rsid w:val="6B0D3978"/>
    <w:rsid w:val="6B0E1251"/>
    <w:rsid w:val="6B0E5081"/>
    <w:rsid w:val="6B1349A9"/>
    <w:rsid w:val="6B172BCD"/>
    <w:rsid w:val="6B1B3ABF"/>
    <w:rsid w:val="6B1B459F"/>
    <w:rsid w:val="6B1D7BEF"/>
    <w:rsid w:val="6B245274"/>
    <w:rsid w:val="6B2627CA"/>
    <w:rsid w:val="6B264A3A"/>
    <w:rsid w:val="6B2705C0"/>
    <w:rsid w:val="6B274C07"/>
    <w:rsid w:val="6B297532"/>
    <w:rsid w:val="6B2A277C"/>
    <w:rsid w:val="6B2A531A"/>
    <w:rsid w:val="6B2B1981"/>
    <w:rsid w:val="6B2C422D"/>
    <w:rsid w:val="6B322639"/>
    <w:rsid w:val="6B34181B"/>
    <w:rsid w:val="6B3477E6"/>
    <w:rsid w:val="6B347990"/>
    <w:rsid w:val="6B362ECF"/>
    <w:rsid w:val="6B381289"/>
    <w:rsid w:val="6B390E8B"/>
    <w:rsid w:val="6B3B3BB4"/>
    <w:rsid w:val="6B3C7DBA"/>
    <w:rsid w:val="6B3D4AE6"/>
    <w:rsid w:val="6B3E29ED"/>
    <w:rsid w:val="6B42119C"/>
    <w:rsid w:val="6B4311FB"/>
    <w:rsid w:val="6B442BC4"/>
    <w:rsid w:val="6B453112"/>
    <w:rsid w:val="6B4734E3"/>
    <w:rsid w:val="6B496E77"/>
    <w:rsid w:val="6B4C26F3"/>
    <w:rsid w:val="6B4C44A1"/>
    <w:rsid w:val="6B4F38E6"/>
    <w:rsid w:val="6B514B41"/>
    <w:rsid w:val="6B5232EC"/>
    <w:rsid w:val="6B572A56"/>
    <w:rsid w:val="6B580571"/>
    <w:rsid w:val="6B5A0D96"/>
    <w:rsid w:val="6B5C5A79"/>
    <w:rsid w:val="6B626380"/>
    <w:rsid w:val="6B6424BA"/>
    <w:rsid w:val="6B642A5C"/>
    <w:rsid w:val="6B6478E7"/>
    <w:rsid w:val="6B6B0BB8"/>
    <w:rsid w:val="6B6C069F"/>
    <w:rsid w:val="6B6C1E72"/>
    <w:rsid w:val="6B6C2E6F"/>
    <w:rsid w:val="6B6F1DCC"/>
    <w:rsid w:val="6B6F5D0D"/>
    <w:rsid w:val="6B705BC3"/>
    <w:rsid w:val="6B744CE7"/>
    <w:rsid w:val="6B747988"/>
    <w:rsid w:val="6B76088F"/>
    <w:rsid w:val="6B775752"/>
    <w:rsid w:val="6B795CE9"/>
    <w:rsid w:val="6B7B4D86"/>
    <w:rsid w:val="6B7E12E4"/>
    <w:rsid w:val="6B7F6664"/>
    <w:rsid w:val="6B851761"/>
    <w:rsid w:val="6B862365"/>
    <w:rsid w:val="6B877B0E"/>
    <w:rsid w:val="6B877FE8"/>
    <w:rsid w:val="6B8B3812"/>
    <w:rsid w:val="6B8C1576"/>
    <w:rsid w:val="6B8F0DBD"/>
    <w:rsid w:val="6B8F22D3"/>
    <w:rsid w:val="6B923C26"/>
    <w:rsid w:val="6B9300C4"/>
    <w:rsid w:val="6B932F58"/>
    <w:rsid w:val="6B945746"/>
    <w:rsid w:val="6B996118"/>
    <w:rsid w:val="6B9A57BE"/>
    <w:rsid w:val="6B9F6CC6"/>
    <w:rsid w:val="6BA37E39"/>
    <w:rsid w:val="6BA37F46"/>
    <w:rsid w:val="6BA442DD"/>
    <w:rsid w:val="6BA53BB1"/>
    <w:rsid w:val="6BA60F3E"/>
    <w:rsid w:val="6BA73F43"/>
    <w:rsid w:val="6BAA3762"/>
    <w:rsid w:val="6BAA43AC"/>
    <w:rsid w:val="6BAC13E3"/>
    <w:rsid w:val="6BAE0D0F"/>
    <w:rsid w:val="6BAE6F0A"/>
    <w:rsid w:val="6BB42046"/>
    <w:rsid w:val="6BB4563E"/>
    <w:rsid w:val="6BB60595"/>
    <w:rsid w:val="6BB804AF"/>
    <w:rsid w:val="6BB87D88"/>
    <w:rsid w:val="6BBD737D"/>
    <w:rsid w:val="6BBF34C5"/>
    <w:rsid w:val="6BBF6BFA"/>
    <w:rsid w:val="6BC80A97"/>
    <w:rsid w:val="6BC84981"/>
    <w:rsid w:val="6BCE21DE"/>
    <w:rsid w:val="6BCF145F"/>
    <w:rsid w:val="6BD0518C"/>
    <w:rsid w:val="6BD24330"/>
    <w:rsid w:val="6BD60BD8"/>
    <w:rsid w:val="6BD66460"/>
    <w:rsid w:val="6BD83F86"/>
    <w:rsid w:val="6BD84EBE"/>
    <w:rsid w:val="6BDB3A77"/>
    <w:rsid w:val="6BDF4621"/>
    <w:rsid w:val="6BE203D1"/>
    <w:rsid w:val="6BE20961"/>
    <w:rsid w:val="6BE26BB3"/>
    <w:rsid w:val="6BE313D5"/>
    <w:rsid w:val="6BE35DEE"/>
    <w:rsid w:val="6BE40B7D"/>
    <w:rsid w:val="6BE51DC0"/>
    <w:rsid w:val="6BE63CAD"/>
    <w:rsid w:val="6BE7462A"/>
    <w:rsid w:val="6BEB6511"/>
    <w:rsid w:val="6BEE00B5"/>
    <w:rsid w:val="6BF012D0"/>
    <w:rsid w:val="6BF02426"/>
    <w:rsid w:val="6BF6482B"/>
    <w:rsid w:val="6BF755C1"/>
    <w:rsid w:val="6BF8412E"/>
    <w:rsid w:val="6BF879A1"/>
    <w:rsid w:val="6BFC6A52"/>
    <w:rsid w:val="6BFD31F6"/>
    <w:rsid w:val="6C0134DD"/>
    <w:rsid w:val="6C0306E0"/>
    <w:rsid w:val="6C045CE8"/>
    <w:rsid w:val="6C077140"/>
    <w:rsid w:val="6C0A3CFD"/>
    <w:rsid w:val="6C0B5272"/>
    <w:rsid w:val="6C0D1BA2"/>
    <w:rsid w:val="6C101972"/>
    <w:rsid w:val="6C10790A"/>
    <w:rsid w:val="6C112279"/>
    <w:rsid w:val="6C1256EA"/>
    <w:rsid w:val="6C1300B9"/>
    <w:rsid w:val="6C146B31"/>
    <w:rsid w:val="6C171090"/>
    <w:rsid w:val="6C1A613A"/>
    <w:rsid w:val="6C1C1059"/>
    <w:rsid w:val="6C1C5327"/>
    <w:rsid w:val="6C1D02B8"/>
    <w:rsid w:val="6C202137"/>
    <w:rsid w:val="6C21592D"/>
    <w:rsid w:val="6C224890"/>
    <w:rsid w:val="6C2471CC"/>
    <w:rsid w:val="6C2509BE"/>
    <w:rsid w:val="6C250C0C"/>
    <w:rsid w:val="6C260C93"/>
    <w:rsid w:val="6C26488C"/>
    <w:rsid w:val="6C264CF2"/>
    <w:rsid w:val="6C29730D"/>
    <w:rsid w:val="6C2B5974"/>
    <w:rsid w:val="6C2B67AC"/>
    <w:rsid w:val="6C2C42D2"/>
    <w:rsid w:val="6C2E004A"/>
    <w:rsid w:val="6C302CF0"/>
    <w:rsid w:val="6C3229AC"/>
    <w:rsid w:val="6C3A1FFA"/>
    <w:rsid w:val="6C3A254B"/>
    <w:rsid w:val="6C3E01AA"/>
    <w:rsid w:val="6C3E30E4"/>
    <w:rsid w:val="6C3F7698"/>
    <w:rsid w:val="6C420538"/>
    <w:rsid w:val="6C450B3D"/>
    <w:rsid w:val="6C467142"/>
    <w:rsid w:val="6C467836"/>
    <w:rsid w:val="6C474C68"/>
    <w:rsid w:val="6C494D21"/>
    <w:rsid w:val="6C495A5E"/>
    <w:rsid w:val="6C4B3C4D"/>
    <w:rsid w:val="6C4F265F"/>
    <w:rsid w:val="6C4F77F2"/>
    <w:rsid w:val="6C500252"/>
    <w:rsid w:val="6C506213"/>
    <w:rsid w:val="6C52578E"/>
    <w:rsid w:val="6C53185F"/>
    <w:rsid w:val="6C540A00"/>
    <w:rsid w:val="6C5543BD"/>
    <w:rsid w:val="6C557385"/>
    <w:rsid w:val="6C5649B0"/>
    <w:rsid w:val="6C5878ED"/>
    <w:rsid w:val="6C5D26DE"/>
    <w:rsid w:val="6C5E3F66"/>
    <w:rsid w:val="6C5E6ADC"/>
    <w:rsid w:val="6C636C38"/>
    <w:rsid w:val="6C653435"/>
    <w:rsid w:val="6C6677E4"/>
    <w:rsid w:val="6C67530A"/>
    <w:rsid w:val="6C6A0E2B"/>
    <w:rsid w:val="6C6C3C9D"/>
    <w:rsid w:val="6C6D52AD"/>
    <w:rsid w:val="6C6D5716"/>
    <w:rsid w:val="6C6D689A"/>
    <w:rsid w:val="6C7017DE"/>
    <w:rsid w:val="6C71078B"/>
    <w:rsid w:val="6C7175FA"/>
    <w:rsid w:val="6C7246E9"/>
    <w:rsid w:val="6C774EF4"/>
    <w:rsid w:val="6C775361"/>
    <w:rsid w:val="6C7A6C4E"/>
    <w:rsid w:val="6C7D422E"/>
    <w:rsid w:val="6C7D5DC3"/>
    <w:rsid w:val="6C81627F"/>
    <w:rsid w:val="6C8163CC"/>
    <w:rsid w:val="6C865790"/>
    <w:rsid w:val="6C8718B9"/>
    <w:rsid w:val="6C873692"/>
    <w:rsid w:val="6C88775B"/>
    <w:rsid w:val="6C89034D"/>
    <w:rsid w:val="6C89299E"/>
    <w:rsid w:val="6C8B56E3"/>
    <w:rsid w:val="6C8D28CA"/>
    <w:rsid w:val="6C8D4D71"/>
    <w:rsid w:val="6C931A04"/>
    <w:rsid w:val="6C9A375C"/>
    <w:rsid w:val="6C9C57B6"/>
    <w:rsid w:val="6C9D5EB8"/>
    <w:rsid w:val="6C9D70EA"/>
    <w:rsid w:val="6C9F4AA4"/>
    <w:rsid w:val="6CA125CA"/>
    <w:rsid w:val="6CA42514"/>
    <w:rsid w:val="6CA4315A"/>
    <w:rsid w:val="6CA65E33"/>
    <w:rsid w:val="6CA976D1"/>
    <w:rsid w:val="6CAC609D"/>
    <w:rsid w:val="6CAF143D"/>
    <w:rsid w:val="6CAF3583"/>
    <w:rsid w:val="6CAF3FE3"/>
    <w:rsid w:val="6CAF4999"/>
    <w:rsid w:val="6CAF51A3"/>
    <w:rsid w:val="6CB274F2"/>
    <w:rsid w:val="6CB318D8"/>
    <w:rsid w:val="6CB545C5"/>
    <w:rsid w:val="6CB56076"/>
    <w:rsid w:val="6CB70F1F"/>
    <w:rsid w:val="6CB80ABA"/>
    <w:rsid w:val="6CB86A39"/>
    <w:rsid w:val="6CB87914"/>
    <w:rsid w:val="6CB95B66"/>
    <w:rsid w:val="6CBE659A"/>
    <w:rsid w:val="6CC603CD"/>
    <w:rsid w:val="6CC967C7"/>
    <w:rsid w:val="6CCE0EE6"/>
    <w:rsid w:val="6CCE7137"/>
    <w:rsid w:val="6CD02EB0"/>
    <w:rsid w:val="6CD04CB5"/>
    <w:rsid w:val="6CD4050B"/>
    <w:rsid w:val="6CD87292"/>
    <w:rsid w:val="6CD936D0"/>
    <w:rsid w:val="6CDA5ADC"/>
    <w:rsid w:val="6CDA788A"/>
    <w:rsid w:val="6CDC2EEB"/>
    <w:rsid w:val="6CDE381E"/>
    <w:rsid w:val="6CE16AB1"/>
    <w:rsid w:val="6CE62C6B"/>
    <w:rsid w:val="6CE75CC3"/>
    <w:rsid w:val="6CEE3336"/>
    <w:rsid w:val="6CF02B5A"/>
    <w:rsid w:val="6CF134E3"/>
    <w:rsid w:val="6CF42BFD"/>
    <w:rsid w:val="6CF50B68"/>
    <w:rsid w:val="6CF546C4"/>
    <w:rsid w:val="6CF552DE"/>
    <w:rsid w:val="6CF84188"/>
    <w:rsid w:val="6CFA1CA4"/>
    <w:rsid w:val="6CFA3DF4"/>
    <w:rsid w:val="6CFB070E"/>
    <w:rsid w:val="6CFC1EF7"/>
    <w:rsid w:val="6CFD4147"/>
    <w:rsid w:val="6CFE1172"/>
    <w:rsid w:val="6CFF5543"/>
    <w:rsid w:val="6D0019E7"/>
    <w:rsid w:val="6D01750D"/>
    <w:rsid w:val="6D0176B9"/>
    <w:rsid w:val="6D0234C5"/>
    <w:rsid w:val="6D035EDE"/>
    <w:rsid w:val="6D08242C"/>
    <w:rsid w:val="6D090170"/>
    <w:rsid w:val="6D0B346A"/>
    <w:rsid w:val="6D0B3EE8"/>
    <w:rsid w:val="6D0C0910"/>
    <w:rsid w:val="6D0F551C"/>
    <w:rsid w:val="6D104336"/>
    <w:rsid w:val="6D11628A"/>
    <w:rsid w:val="6D1D32F5"/>
    <w:rsid w:val="6D1F6593"/>
    <w:rsid w:val="6D231231"/>
    <w:rsid w:val="6D245801"/>
    <w:rsid w:val="6D27011F"/>
    <w:rsid w:val="6D282F0A"/>
    <w:rsid w:val="6D2C0D50"/>
    <w:rsid w:val="6D2D43D4"/>
    <w:rsid w:val="6D2D6A14"/>
    <w:rsid w:val="6D341690"/>
    <w:rsid w:val="6D3A02D5"/>
    <w:rsid w:val="6D3B3D5D"/>
    <w:rsid w:val="6D3C0545"/>
    <w:rsid w:val="6D3C1094"/>
    <w:rsid w:val="6D3E606B"/>
    <w:rsid w:val="6D3E7FC5"/>
    <w:rsid w:val="6D421260"/>
    <w:rsid w:val="6D4230AA"/>
    <w:rsid w:val="6D4318D3"/>
    <w:rsid w:val="6D454822"/>
    <w:rsid w:val="6D475D9B"/>
    <w:rsid w:val="6D4A1C7F"/>
    <w:rsid w:val="6D4D62AE"/>
    <w:rsid w:val="6D4E47F3"/>
    <w:rsid w:val="6D4F0278"/>
    <w:rsid w:val="6D4F1ACC"/>
    <w:rsid w:val="6D51444C"/>
    <w:rsid w:val="6D52196E"/>
    <w:rsid w:val="6D542111"/>
    <w:rsid w:val="6D5457DF"/>
    <w:rsid w:val="6D597BAC"/>
    <w:rsid w:val="6D5A14D3"/>
    <w:rsid w:val="6D5D2323"/>
    <w:rsid w:val="6D5F2661"/>
    <w:rsid w:val="6D611149"/>
    <w:rsid w:val="6D62188C"/>
    <w:rsid w:val="6D6313D2"/>
    <w:rsid w:val="6D642D4B"/>
    <w:rsid w:val="6D651D06"/>
    <w:rsid w:val="6D657A9C"/>
    <w:rsid w:val="6D667370"/>
    <w:rsid w:val="6D694B83"/>
    <w:rsid w:val="6D6C0E2A"/>
    <w:rsid w:val="6D6C77C0"/>
    <w:rsid w:val="6D6D79F8"/>
    <w:rsid w:val="6D6E2C39"/>
    <w:rsid w:val="6D7016B9"/>
    <w:rsid w:val="6D76267E"/>
    <w:rsid w:val="6D777B8B"/>
    <w:rsid w:val="6D784F56"/>
    <w:rsid w:val="6D7879AA"/>
    <w:rsid w:val="6D7D765B"/>
    <w:rsid w:val="6D8131D3"/>
    <w:rsid w:val="6D8223FC"/>
    <w:rsid w:val="6D8307B0"/>
    <w:rsid w:val="6D8343C6"/>
    <w:rsid w:val="6D856CD8"/>
    <w:rsid w:val="6D8819DC"/>
    <w:rsid w:val="6D8C4FC0"/>
    <w:rsid w:val="6D91263F"/>
    <w:rsid w:val="6D952446"/>
    <w:rsid w:val="6D963E34"/>
    <w:rsid w:val="6D981C1F"/>
    <w:rsid w:val="6D99255B"/>
    <w:rsid w:val="6D994FE6"/>
    <w:rsid w:val="6D9A4BC9"/>
    <w:rsid w:val="6D9C0FE4"/>
    <w:rsid w:val="6D9E658E"/>
    <w:rsid w:val="6DA265FA"/>
    <w:rsid w:val="6DA74D82"/>
    <w:rsid w:val="6DA77593"/>
    <w:rsid w:val="6DA80497"/>
    <w:rsid w:val="6DA812E1"/>
    <w:rsid w:val="6DA840B0"/>
    <w:rsid w:val="6DA87AC7"/>
    <w:rsid w:val="6DAA00BF"/>
    <w:rsid w:val="6DAB7E4D"/>
    <w:rsid w:val="6DAE6902"/>
    <w:rsid w:val="6DAF6EFE"/>
    <w:rsid w:val="6DB0583C"/>
    <w:rsid w:val="6DB112AA"/>
    <w:rsid w:val="6DB26EF9"/>
    <w:rsid w:val="6DB34098"/>
    <w:rsid w:val="6DB410CA"/>
    <w:rsid w:val="6DB545B6"/>
    <w:rsid w:val="6DB66549"/>
    <w:rsid w:val="6DB70764"/>
    <w:rsid w:val="6DB84D80"/>
    <w:rsid w:val="6DB85E1E"/>
    <w:rsid w:val="6DB978DE"/>
    <w:rsid w:val="6DBB590E"/>
    <w:rsid w:val="6DBC76F2"/>
    <w:rsid w:val="6DBD1686"/>
    <w:rsid w:val="6DBE0F5A"/>
    <w:rsid w:val="6DC074CE"/>
    <w:rsid w:val="6DC1102D"/>
    <w:rsid w:val="6DC25A20"/>
    <w:rsid w:val="6DC32345"/>
    <w:rsid w:val="6DC41CF4"/>
    <w:rsid w:val="6DC44B4E"/>
    <w:rsid w:val="6DC75D8F"/>
    <w:rsid w:val="6DC76061"/>
    <w:rsid w:val="6DC84989"/>
    <w:rsid w:val="6DC963F1"/>
    <w:rsid w:val="6DCB34A7"/>
    <w:rsid w:val="6DCB6857"/>
    <w:rsid w:val="6DCB7D77"/>
    <w:rsid w:val="6DCC18C9"/>
    <w:rsid w:val="6DCD73EC"/>
    <w:rsid w:val="6DCF30A0"/>
    <w:rsid w:val="6DD02C0B"/>
    <w:rsid w:val="6DD24A05"/>
    <w:rsid w:val="6DD44412"/>
    <w:rsid w:val="6DD634E2"/>
    <w:rsid w:val="6DD642C4"/>
    <w:rsid w:val="6DD71F00"/>
    <w:rsid w:val="6DD7356E"/>
    <w:rsid w:val="6DDB24BD"/>
    <w:rsid w:val="6DDB5FB0"/>
    <w:rsid w:val="6DDE5E28"/>
    <w:rsid w:val="6DDE6E3C"/>
    <w:rsid w:val="6DDF434A"/>
    <w:rsid w:val="6DE02FB4"/>
    <w:rsid w:val="6DE035C6"/>
    <w:rsid w:val="6DE13308"/>
    <w:rsid w:val="6DE72F43"/>
    <w:rsid w:val="6DE80E1A"/>
    <w:rsid w:val="6DEC1F6B"/>
    <w:rsid w:val="6DEF7365"/>
    <w:rsid w:val="6DF066DF"/>
    <w:rsid w:val="6DF30129"/>
    <w:rsid w:val="6DF32983"/>
    <w:rsid w:val="6DF365B8"/>
    <w:rsid w:val="6DF36CA2"/>
    <w:rsid w:val="6DF42BCE"/>
    <w:rsid w:val="6DF5784D"/>
    <w:rsid w:val="6DF84879"/>
    <w:rsid w:val="6DFA6436"/>
    <w:rsid w:val="6DFD489E"/>
    <w:rsid w:val="6DFD72AD"/>
    <w:rsid w:val="6E021B33"/>
    <w:rsid w:val="6E0348E1"/>
    <w:rsid w:val="6E056B89"/>
    <w:rsid w:val="6E071AB6"/>
    <w:rsid w:val="6E0808DD"/>
    <w:rsid w:val="6E096679"/>
    <w:rsid w:val="6E0B16D6"/>
    <w:rsid w:val="6E0F6731"/>
    <w:rsid w:val="6E1051CB"/>
    <w:rsid w:val="6E105C5A"/>
    <w:rsid w:val="6E11552E"/>
    <w:rsid w:val="6E176296"/>
    <w:rsid w:val="6E1C1E62"/>
    <w:rsid w:val="6E1E41BA"/>
    <w:rsid w:val="6E211B10"/>
    <w:rsid w:val="6E227042"/>
    <w:rsid w:val="6E231AB9"/>
    <w:rsid w:val="6E242C49"/>
    <w:rsid w:val="6E276AFF"/>
    <w:rsid w:val="6E285E45"/>
    <w:rsid w:val="6E2A6016"/>
    <w:rsid w:val="6E2C680B"/>
    <w:rsid w:val="6E2E4912"/>
    <w:rsid w:val="6E306071"/>
    <w:rsid w:val="6E313E22"/>
    <w:rsid w:val="6E331948"/>
    <w:rsid w:val="6E332347"/>
    <w:rsid w:val="6E3336F6"/>
    <w:rsid w:val="6E35616B"/>
    <w:rsid w:val="6E357F59"/>
    <w:rsid w:val="6E3621EA"/>
    <w:rsid w:val="6E3631E6"/>
    <w:rsid w:val="6E385353"/>
    <w:rsid w:val="6E392BCD"/>
    <w:rsid w:val="6E3A4A84"/>
    <w:rsid w:val="6E3A5F81"/>
    <w:rsid w:val="6E3B4257"/>
    <w:rsid w:val="6E3D6323"/>
    <w:rsid w:val="6E3E5556"/>
    <w:rsid w:val="6E3F593B"/>
    <w:rsid w:val="6E421B8B"/>
    <w:rsid w:val="6E440737"/>
    <w:rsid w:val="6E453429"/>
    <w:rsid w:val="6E4771A1"/>
    <w:rsid w:val="6E4A6783"/>
    <w:rsid w:val="6E502772"/>
    <w:rsid w:val="6E502F4C"/>
    <w:rsid w:val="6E503612"/>
    <w:rsid w:val="6E510157"/>
    <w:rsid w:val="6E514CED"/>
    <w:rsid w:val="6E516573"/>
    <w:rsid w:val="6E526272"/>
    <w:rsid w:val="6E532C18"/>
    <w:rsid w:val="6E582425"/>
    <w:rsid w:val="6E5900A6"/>
    <w:rsid w:val="6E5B450E"/>
    <w:rsid w:val="6E5D775C"/>
    <w:rsid w:val="6E657628"/>
    <w:rsid w:val="6E663C29"/>
    <w:rsid w:val="6E66587A"/>
    <w:rsid w:val="6E6A0615"/>
    <w:rsid w:val="6E6B4246"/>
    <w:rsid w:val="6E7064E5"/>
    <w:rsid w:val="6E706C00"/>
    <w:rsid w:val="6E7141CB"/>
    <w:rsid w:val="6E7220B1"/>
    <w:rsid w:val="6E785BF3"/>
    <w:rsid w:val="6E7A30D3"/>
    <w:rsid w:val="6E7B0DE6"/>
    <w:rsid w:val="6E7B37F5"/>
    <w:rsid w:val="6E7D7067"/>
    <w:rsid w:val="6E7E70FA"/>
    <w:rsid w:val="6E7F2AE7"/>
    <w:rsid w:val="6E7F3520"/>
    <w:rsid w:val="6E7F4B8D"/>
    <w:rsid w:val="6E8403F6"/>
    <w:rsid w:val="6E874CEC"/>
    <w:rsid w:val="6E8977BA"/>
    <w:rsid w:val="6E8D72AA"/>
    <w:rsid w:val="6E8E5E1C"/>
    <w:rsid w:val="6E90317A"/>
    <w:rsid w:val="6E91736A"/>
    <w:rsid w:val="6E9212C1"/>
    <w:rsid w:val="6E925798"/>
    <w:rsid w:val="6E927FD8"/>
    <w:rsid w:val="6E9323E7"/>
    <w:rsid w:val="6E940801"/>
    <w:rsid w:val="6E97501D"/>
    <w:rsid w:val="6E9751D1"/>
    <w:rsid w:val="6E976DD7"/>
    <w:rsid w:val="6E9817AB"/>
    <w:rsid w:val="6E9D5013"/>
    <w:rsid w:val="6E9D5BFC"/>
    <w:rsid w:val="6E9E2BE3"/>
    <w:rsid w:val="6E9F0D8B"/>
    <w:rsid w:val="6EA13C80"/>
    <w:rsid w:val="6EA2262A"/>
    <w:rsid w:val="6EA278B9"/>
    <w:rsid w:val="6EA36ACE"/>
    <w:rsid w:val="6EA445F4"/>
    <w:rsid w:val="6EA55001"/>
    <w:rsid w:val="6EA70994"/>
    <w:rsid w:val="6EA715B1"/>
    <w:rsid w:val="6EA94AC8"/>
    <w:rsid w:val="6EAA2F65"/>
    <w:rsid w:val="6EB03DE9"/>
    <w:rsid w:val="6EB563D5"/>
    <w:rsid w:val="6EB74327"/>
    <w:rsid w:val="6EBA654F"/>
    <w:rsid w:val="6EBC0F1A"/>
    <w:rsid w:val="6EBC6305"/>
    <w:rsid w:val="6EBE7CD5"/>
    <w:rsid w:val="6EBF1A7B"/>
    <w:rsid w:val="6EC16F54"/>
    <w:rsid w:val="6EC26F93"/>
    <w:rsid w:val="6EC32CCC"/>
    <w:rsid w:val="6EC407F2"/>
    <w:rsid w:val="6EC65338"/>
    <w:rsid w:val="6EC8009D"/>
    <w:rsid w:val="6EC91D52"/>
    <w:rsid w:val="6EC922AC"/>
    <w:rsid w:val="6ECC4ED7"/>
    <w:rsid w:val="6ECC5C23"/>
    <w:rsid w:val="6ECD2434"/>
    <w:rsid w:val="6ECE55DC"/>
    <w:rsid w:val="6ED00F45"/>
    <w:rsid w:val="6ED24CBD"/>
    <w:rsid w:val="6ED64489"/>
    <w:rsid w:val="6ED722D3"/>
    <w:rsid w:val="6ED91B6E"/>
    <w:rsid w:val="6ED92677"/>
    <w:rsid w:val="6ED96E6A"/>
    <w:rsid w:val="6EDB600A"/>
    <w:rsid w:val="6EDF5310"/>
    <w:rsid w:val="6EDF7C1F"/>
    <w:rsid w:val="6EE025C2"/>
    <w:rsid w:val="6EE10EB0"/>
    <w:rsid w:val="6EE60768"/>
    <w:rsid w:val="6EEA12F2"/>
    <w:rsid w:val="6EEA254A"/>
    <w:rsid w:val="6EED7CCA"/>
    <w:rsid w:val="6EF27E43"/>
    <w:rsid w:val="6EF7760C"/>
    <w:rsid w:val="6EFF188A"/>
    <w:rsid w:val="6F062BB9"/>
    <w:rsid w:val="6F08090C"/>
    <w:rsid w:val="6F0A7277"/>
    <w:rsid w:val="6F0D0986"/>
    <w:rsid w:val="6F0E1373"/>
    <w:rsid w:val="6F1251F0"/>
    <w:rsid w:val="6F141779"/>
    <w:rsid w:val="6F177521"/>
    <w:rsid w:val="6F185795"/>
    <w:rsid w:val="6F1A3BE3"/>
    <w:rsid w:val="6F1F1A60"/>
    <w:rsid w:val="6F2062C6"/>
    <w:rsid w:val="6F222375"/>
    <w:rsid w:val="6F225983"/>
    <w:rsid w:val="6F2504E0"/>
    <w:rsid w:val="6F257809"/>
    <w:rsid w:val="6F27617E"/>
    <w:rsid w:val="6F284B4B"/>
    <w:rsid w:val="6F292075"/>
    <w:rsid w:val="6F2A2D4B"/>
    <w:rsid w:val="6F332BDE"/>
    <w:rsid w:val="6F3345B4"/>
    <w:rsid w:val="6F370FC4"/>
    <w:rsid w:val="6F3A0155"/>
    <w:rsid w:val="6F3B4F58"/>
    <w:rsid w:val="6F4108C5"/>
    <w:rsid w:val="6F411E43"/>
    <w:rsid w:val="6F414CFD"/>
    <w:rsid w:val="6F4247CB"/>
    <w:rsid w:val="6F466928"/>
    <w:rsid w:val="6F472A74"/>
    <w:rsid w:val="6F477105"/>
    <w:rsid w:val="6F4831D1"/>
    <w:rsid w:val="6F490AB7"/>
    <w:rsid w:val="6F4B48B6"/>
    <w:rsid w:val="6F4D5E2E"/>
    <w:rsid w:val="6F4E0E71"/>
    <w:rsid w:val="6F523548"/>
    <w:rsid w:val="6F527D12"/>
    <w:rsid w:val="6F5506A7"/>
    <w:rsid w:val="6F551878"/>
    <w:rsid w:val="6F5871B7"/>
    <w:rsid w:val="6F587DDE"/>
    <w:rsid w:val="6F590AE8"/>
    <w:rsid w:val="6F59718C"/>
    <w:rsid w:val="6F5A368F"/>
    <w:rsid w:val="6F5D2415"/>
    <w:rsid w:val="6F5D30EC"/>
    <w:rsid w:val="6F611BCF"/>
    <w:rsid w:val="6F6137A6"/>
    <w:rsid w:val="6F625113"/>
    <w:rsid w:val="6F655B31"/>
    <w:rsid w:val="6F684CE3"/>
    <w:rsid w:val="6F69368D"/>
    <w:rsid w:val="6F697E58"/>
    <w:rsid w:val="6F6A29C3"/>
    <w:rsid w:val="6F6A3147"/>
    <w:rsid w:val="6F6B51F2"/>
    <w:rsid w:val="6F6F1C42"/>
    <w:rsid w:val="6F6F55FE"/>
    <w:rsid w:val="6F707730"/>
    <w:rsid w:val="6F712728"/>
    <w:rsid w:val="6F71418E"/>
    <w:rsid w:val="6F71619F"/>
    <w:rsid w:val="6F724596"/>
    <w:rsid w:val="6F730AFF"/>
    <w:rsid w:val="6F741922"/>
    <w:rsid w:val="6F767D3E"/>
    <w:rsid w:val="6F78316E"/>
    <w:rsid w:val="6F78491F"/>
    <w:rsid w:val="6F7C1C1D"/>
    <w:rsid w:val="6F7F4491"/>
    <w:rsid w:val="6F802BF3"/>
    <w:rsid w:val="6F83245B"/>
    <w:rsid w:val="6F854E1F"/>
    <w:rsid w:val="6F885CC3"/>
    <w:rsid w:val="6F8A2105"/>
    <w:rsid w:val="6F8B57FE"/>
    <w:rsid w:val="6F8F7052"/>
    <w:rsid w:val="6F973AC1"/>
    <w:rsid w:val="6F993579"/>
    <w:rsid w:val="6F9957DB"/>
    <w:rsid w:val="6F995E2E"/>
    <w:rsid w:val="6F99688D"/>
    <w:rsid w:val="6F9C4386"/>
    <w:rsid w:val="6F9D70C6"/>
    <w:rsid w:val="6FA128E1"/>
    <w:rsid w:val="6FA144F2"/>
    <w:rsid w:val="6FA652D6"/>
    <w:rsid w:val="6FA75B73"/>
    <w:rsid w:val="6FA9564E"/>
    <w:rsid w:val="6FB12A90"/>
    <w:rsid w:val="6FB321F5"/>
    <w:rsid w:val="6FB40867"/>
    <w:rsid w:val="6FB940CF"/>
    <w:rsid w:val="6FBC6D21"/>
    <w:rsid w:val="6FC0720B"/>
    <w:rsid w:val="6FC43175"/>
    <w:rsid w:val="6FC565D0"/>
    <w:rsid w:val="6FCC3E02"/>
    <w:rsid w:val="6FCC795E"/>
    <w:rsid w:val="6FCE3484"/>
    <w:rsid w:val="6FD46991"/>
    <w:rsid w:val="6FD55A99"/>
    <w:rsid w:val="6FD607DD"/>
    <w:rsid w:val="6FD66125"/>
    <w:rsid w:val="6FD73031"/>
    <w:rsid w:val="6FD75516"/>
    <w:rsid w:val="6FD827A7"/>
    <w:rsid w:val="6FD90AB8"/>
    <w:rsid w:val="6FD9207B"/>
    <w:rsid w:val="6FDA3019"/>
    <w:rsid w:val="6FDB399B"/>
    <w:rsid w:val="6FDD600F"/>
    <w:rsid w:val="6FE4739E"/>
    <w:rsid w:val="6FE54EC4"/>
    <w:rsid w:val="6FE72C4F"/>
    <w:rsid w:val="6FE82B4D"/>
    <w:rsid w:val="6FEA4288"/>
    <w:rsid w:val="6FF56179"/>
    <w:rsid w:val="6FF57DD4"/>
    <w:rsid w:val="6FF60E7F"/>
    <w:rsid w:val="6FF62C2D"/>
    <w:rsid w:val="6FF83ED0"/>
    <w:rsid w:val="6FF851A3"/>
    <w:rsid w:val="6FFC5590"/>
    <w:rsid w:val="70042157"/>
    <w:rsid w:val="700729B8"/>
    <w:rsid w:val="7007308C"/>
    <w:rsid w:val="700750D5"/>
    <w:rsid w:val="700868C0"/>
    <w:rsid w:val="70090BB2"/>
    <w:rsid w:val="700E1901"/>
    <w:rsid w:val="700F1E05"/>
    <w:rsid w:val="700F6212"/>
    <w:rsid w:val="7011247C"/>
    <w:rsid w:val="70135B55"/>
    <w:rsid w:val="70141D11"/>
    <w:rsid w:val="70154ECC"/>
    <w:rsid w:val="70180DF5"/>
    <w:rsid w:val="701A1376"/>
    <w:rsid w:val="701E0F19"/>
    <w:rsid w:val="701E5409"/>
    <w:rsid w:val="7023585C"/>
    <w:rsid w:val="7024474C"/>
    <w:rsid w:val="70282551"/>
    <w:rsid w:val="7028481C"/>
    <w:rsid w:val="702B672C"/>
    <w:rsid w:val="702C664F"/>
    <w:rsid w:val="70313054"/>
    <w:rsid w:val="70335578"/>
    <w:rsid w:val="703412DE"/>
    <w:rsid w:val="703415BD"/>
    <w:rsid w:val="70383246"/>
    <w:rsid w:val="70392A3C"/>
    <w:rsid w:val="703A26D1"/>
    <w:rsid w:val="703B2D36"/>
    <w:rsid w:val="703B56E4"/>
    <w:rsid w:val="703B5C23"/>
    <w:rsid w:val="703D085C"/>
    <w:rsid w:val="703D6365"/>
    <w:rsid w:val="704035FE"/>
    <w:rsid w:val="70464D63"/>
    <w:rsid w:val="7048339E"/>
    <w:rsid w:val="7049491A"/>
    <w:rsid w:val="704A4D27"/>
    <w:rsid w:val="704A55F7"/>
    <w:rsid w:val="704E0CBB"/>
    <w:rsid w:val="704E2A69"/>
    <w:rsid w:val="705160B5"/>
    <w:rsid w:val="705366E7"/>
    <w:rsid w:val="70537CB2"/>
    <w:rsid w:val="705647F5"/>
    <w:rsid w:val="70575B24"/>
    <w:rsid w:val="705838E8"/>
    <w:rsid w:val="705A0881"/>
    <w:rsid w:val="705A56A8"/>
    <w:rsid w:val="705C5CA9"/>
    <w:rsid w:val="705F4991"/>
    <w:rsid w:val="705F6A24"/>
    <w:rsid w:val="706202C3"/>
    <w:rsid w:val="70633312"/>
    <w:rsid w:val="70635E27"/>
    <w:rsid w:val="70643A4D"/>
    <w:rsid w:val="706504C5"/>
    <w:rsid w:val="70661973"/>
    <w:rsid w:val="70673B2B"/>
    <w:rsid w:val="70674864"/>
    <w:rsid w:val="706A7146"/>
    <w:rsid w:val="706C2EEF"/>
    <w:rsid w:val="706C4E9B"/>
    <w:rsid w:val="706D1DD0"/>
    <w:rsid w:val="706D5F0F"/>
    <w:rsid w:val="706F478E"/>
    <w:rsid w:val="7073539A"/>
    <w:rsid w:val="70757A2D"/>
    <w:rsid w:val="70763D6E"/>
    <w:rsid w:val="70781894"/>
    <w:rsid w:val="707B7161"/>
    <w:rsid w:val="707C234E"/>
    <w:rsid w:val="708140A6"/>
    <w:rsid w:val="708226D9"/>
    <w:rsid w:val="708244C1"/>
    <w:rsid w:val="708300EC"/>
    <w:rsid w:val="70840239"/>
    <w:rsid w:val="70856B87"/>
    <w:rsid w:val="70860455"/>
    <w:rsid w:val="70877D29"/>
    <w:rsid w:val="70887E51"/>
    <w:rsid w:val="708B3C5F"/>
    <w:rsid w:val="708C17E3"/>
    <w:rsid w:val="708C502F"/>
    <w:rsid w:val="708D10C6"/>
    <w:rsid w:val="708D69DB"/>
    <w:rsid w:val="708E2E66"/>
    <w:rsid w:val="708E734B"/>
    <w:rsid w:val="70944813"/>
    <w:rsid w:val="709541F4"/>
    <w:rsid w:val="709A3F00"/>
    <w:rsid w:val="709A79F7"/>
    <w:rsid w:val="709C24CB"/>
    <w:rsid w:val="709C295E"/>
    <w:rsid w:val="70A166FF"/>
    <w:rsid w:val="70A408DB"/>
    <w:rsid w:val="70A84594"/>
    <w:rsid w:val="70A95079"/>
    <w:rsid w:val="70AB43F9"/>
    <w:rsid w:val="70AC229D"/>
    <w:rsid w:val="70B07280"/>
    <w:rsid w:val="70B12FF8"/>
    <w:rsid w:val="70B56644"/>
    <w:rsid w:val="70B66881"/>
    <w:rsid w:val="70B73A8C"/>
    <w:rsid w:val="70B958E8"/>
    <w:rsid w:val="70BC48DA"/>
    <w:rsid w:val="70BE0057"/>
    <w:rsid w:val="70C60851"/>
    <w:rsid w:val="70C74890"/>
    <w:rsid w:val="70C77566"/>
    <w:rsid w:val="70C87DA9"/>
    <w:rsid w:val="70CA2BBC"/>
    <w:rsid w:val="70CA4EC7"/>
    <w:rsid w:val="70CD1D12"/>
    <w:rsid w:val="70CE3BAA"/>
    <w:rsid w:val="70CF43C6"/>
    <w:rsid w:val="70D2602A"/>
    <w:rsid w:val="70D27FA6"/>
    <w:rsid w:val="70D311C0"/>
    <w:rsid w:val="70D37ED8"/>
    <w:rsid w:val="70D527EE"/>
    <w:rsid w:val="70DB70DE"/>
    <w:rsid w:val="70DE63E2"/>
    <w:rsid w:val="70E12D6C"/>
    <w:rsid w:val="70E231B1"/>
    <w:rsid w:val="70E4480B"/>
    <w:rsid w:val="70E50103"/>
    <w:rsid w:val="70E72CFA"/>
    <w:rsid w:val="70EA5CC3"/>
    <w:rsid w:val="70EB02B8"/>
    <w:rsid w:val="70EC5DDE"/>
    <w:rsid w:val="70EE5F23"/>
    <w:rsid w:val="70F25C58"/>
    <w:rsid w:val="70F42ADA"/>
    <w:rsid w:val="70F42C4B"/>
    <w:rsid w:val="70F47EF2"/>
    <w:rsid w:val="70F56BC9"/>
    <w:rsid w:val="70F709F3"/>
    <w:rsid w:val="70FA499F"/>
    <w:rsid w:val="70FD54B5"/>
    <w:rsid w:val="70FF5B11"/>
    <w:rsid w:val="7103321F"/>
    <w:rsid w:val="71033854"/>
    <w:rsid w:val="71072779"/>
    <w:rsid w:val="71090BD9"/>
    <w:rsid w:val="71093A35"/>
    <w:rsid w:val="710B2708"/>
    <w:rsid w:val="710E3FA6"/>
    <w:rsid w:val="7114062C"/>
    <w:rsid w:val="71157BBB"/>
    <w:rsid w:val="71191BAB"/>
    <w:rsid w:val="711C588C"/>
    <w:rsid w:val="711D00F3"/>
    <w:rsid w:val="711D243B"/>
    <w:rsid w:val="711E0A8C"/>
    <w:rsid w:val="711F211C"/>
    <w:rsid w:val="71211652"/>
    <w:rsid w:val="71222B82"/>
    <w:rsid w:val="7122347C"/>
    <w:rsid w:val="71237178"/>
    <w:rsid w:val="71250D38"/>
    <w:rsid w:val="712D08D1"/>
    <w:rsid w:val="712D491D"/>
    <w:rsid w:val="712F7976"/>
    <w:rsid w:val="71311CDE"/>
    <w:rsid w:val="71321182"/>
    <w:rsid w:val="71332E51"/>
    <w:rsid w:val="713543D4"/>
    <w:rsid w:val="71366F67"/>
    <w:rsid w:val="713954C7"/>
    <w:rsid w:val="713C4FB8"/>
    <w:rsid w:val="713D663A"/>
    <w:rsid w:val="713D6842"/>
    <w:rsid w:val="713D6A5B"/>
    <w:rsid w:val="7142007B"/>
    <w:rsid w:val="71436C25"/>
    <w:rsid w:val="71437D12"/>
    <w:rsid w:val="71453E6C"/>
    <w:rsid w:val="7148395C"/>
    <w:rsid w:val="714A58C7"/>
    <w:rsid w:val="714D6337"/>
    <w:rsid w:val="71505EFF"/>
    <w:rsid w:val="715220E5"/>
    <w:rsid w:val="7152666B"/>
    <w:rsid w:val="71564551"/>
    <w:rsid w:val="715B3690"/>
    <w:rsid w:val="715B5300"/>
    <w:rsid w:val="715B7119"/>
    <w:rsid w:val="715F0E52"/>
    <w:rsid w:val="716331BC"/>
    <w:rsid w:val="716342F2"/>
    <w:rsid w:val="71641E4F"/>
    <w:rsid w:val="716B15DB"/>
    <w:rsid w:val="716F0EE9"/>
    <w:rsid w:val="716F3FB7"/>
    <w:rsid w:val="71704C61"/>
    <w:rsid w:val="717804FA"/>
    <w:rsid w:val="71791D68"/>
    <w:rsid w:val="71796EC1"/>
    <w:rsid w:val="71806911"/>
    <w:rsid w:val="71807898"/>
    <w:rsid w:val="718129CA"/>
    <w:rsid w:val="71834BA9"/>
    <w:rsid w:val="71842467"/>
    <w:rsid w:val="718524BB"/>
    <w:rsid w:val="71864485"/>
    <w:rsid w:val="71867FE1"/>
    <w:rsid w:val="718A10E1"/>
    <w:rsid w:val="718C77BA"/>
    <w:rsid w:val="718E2001"/>
    <w:rsid w:val="718F158B"/>
    <w:rsid w:val="718F5D74"/>
    <w:rsid w:val="71926A3E"/>
    <w:rsid w:val="71934453"/>
    <w:rsid w:val="71950224"/>
    <w:rsid w:val="7198719C"/>
    <w:rsid w:val="719B1CDE"/>
    <w:rsid w:val="719C5A56"/>
    <w:rsid w:val="719E1B30"/>
    <w:rsid w:val="719E532A"/>
    <w:rsid w:val="71A2142B"/>
    <w:rsid w:val="71A3699E"/>
    <w:rsid w:val="71A505A4"/>
    <w:rsid w:val="71AA0173"/>
    <w:rsid w:val="71AB132F"/>
    <w:rsid w:val="71AC0213"/>
    <w:rsid w:val="71AC3193"/>
    <w:rsid w:val="71AF12E6"/>
    <w:rsid w:val="71B3279D"/>
    <w:rsid w:val="71B4086F"/>
    <w:rsid w:val="71B82D0A"/>
    <w:rsid w:val="71BB78E9"/>
    <w:rsid w:val="71C034F3"/>
    <w:rsid w:val="71C130F1"/>
    <w:rsid w:val="71C4646A"/>
    <w:rsid w:val="71C51EC4"/>
    <w:rsid w:val="71C54297"/>
    <w:rsid w:val="71C56D5B"/>
    <w:rsid w:val="71C64881"/>
    <w:rsid w:val="71C70D25"/>
    <w:rsid w:val="71C736AA"/>
    <w:rsid w:val="71CA25C3"/>
    <w:rsid w:val="71CD36FF"/>
    <w:rsid w:val="71CD3E62"/>
    <w:rsid w:val="71D1092D"/>
    <w:rsid w:val="71D15700"/>
    <w:rsid w:val="71D27F8A"/>
    <w:rsid w:val="71D40D4C"/>
    <w:rsid w:val="71D7083C"/>
    <w:rsid w:val="71DB5896"/>
    <w:rsid w:val="71DC3D3D"/>
    <w:rsid w:val="71DE7E1D"/>
    <w:rsid w:val="71E05943"/>
    <w:rsid w:val="71E13469"/>
    <w:rsid w:val="71E319B4"/>
    <w:rsid w:val="71E41F0B"/>
    <w:rsid w:val="71E511AB"/>
    <w:rsid w:val="71E52F59"/>
    <w:rsid w:val="71E85AAF"/>
    <w:rsid w:val="71EA1A6A"/>
    <w:rsid w:val="71F000C4"/>
    <w:rsid w:val="71F407A2"/>
    <w:rsid w:val="71F43750"/>
    <w:rsid w:val="71F4514F"/>
    <w:rsid w:val="71F46A46"/>
    <w:rsid w:val="71F7377E"/>
    <w:rsid w:val="71F74B81"/>
    <w:rsid w:val="71FB09CF"/>
    <w:rsid w:val="71FF23CD"/>
    <w:rsid w:val="71FF38FA"/>
    <w:rsid w:val="72007D93"/>
    <w:rsid w:val="72021D5D"/>
    <w:rsid w:val="72035AD5"/>
    <w:rsid w:val="72086C48"/>
    <w:rsid w:val="720B39B5"/>
    <w:rsid w:val="720B4B65"/>
    <w:rsid w:val="720D2CD8"/>
    <w:rsid w:val="72113D4E"/>
    <w:rsid w:val="72151665"/>
    <w:rsid w:val="7215677C"/>
    <w:rsid w:val="72171306"/>
    <w:rsid w:val="72175A9A"/>
    <w:rsid w:val="721B2027"/>
    <w:rsid w:val="721E646B"/>
    <w:rsid w:val="721F0DE4"/>
    <w:rsid w:val="722021E3"/>
    <w:rsid w:val="722054E1"/>
    <w:rsid w:val="72215B60"/>
    <w:rsid w:val="722339A6"/>
    <w:rsid w:val="7225136D"/>
    <w:rsid w:val="72275098"/>
    <w:rsid w:val="72293AA6"/>
    <w:rsid w:val="7229553C"/>
    <w:rsid w:val="722B704C"/>
    <w:rsid w:val="722F0678"/>
    <w:rsid w:val="72312168"/>
    <w:rsid w:val="72323CC5"/>
    <w:rsid w:val="72327C94"/>
    <w:rsid w:val="72343EE1"/>
    <w:rsid w:val="72350117"/>
    <w:rsid w:val="72360654"/>
    <w:rsid w:val="7236740C"/>
    <w:rsid w:val="7239395F"/>
    <w:rsid w:val="72414668"/>
    <w:rsid w:val="72430318"/>
    <w:rsid w:val="724463ED"/>
    <w:rsid w:val="72476771"/>
    <w:rsid w:val="72481055"/>
    <w:rsid w:val="724D07EA"/>
    <w:rsid w:val="724D637A"/>
    <w:rsid w:val="724D7024"/>
    <w:rsid w:val="724E00CB"/>
    <w:rsid w:val="724F2AC9"/>
    <w:rsid w:val="72514A93"/>
    <w:rsid w:val="725165FD"/>
    <w:rsid w:val="72541323"/>
    <w:rsid w:val="72553024"/>
    <w:rsid w:val="725917E7"/>
    <w:rsid w:val="72595A5D"/>
    <w:rsid w:val="72595E3B"/>
    <w:rsid w:val="725D42D9"/>
    <w:rsid w:val="725E2D0C"/>
    <w:rsid w:val="725F0AA8"/>
    <w:rsid w:val="7260445D"/>
    <w:rsid w:val="72614A63"/>
    <w:rsid w:val="726170A1"/>
    <w:rsid w:val="72622BD7"/>
    <w:rsid w:val="72627969"/>
    <w:rsid w:val="72653100"/>
    <w:rsid w:val="7266490D"/>
    <w:rsid w:val="72664B4D"/>
    <w:rsid w:val="726922F3"/>
    <w:rsid w:val="726A23DD"/>
    <w:rsid w:val="726A714C"/>
    <w:rsid w:val="726D2EF9"/>
    <w:rsid w:val="7270738C"/>
    <w:rsid w:val="72744617"/>
    <w:rsid w:val="7274556F"/>
    <w:rsid w:val="72753A44"/>
    <w:rsid w:val="727662A7"/>
    <w:rsid w:val="727B234A"/>
    <w:rsid w:val="727D078E"/>
    <w:rsid w:val="727D5159"/>
    <w:rsid w:val="727E39FA"/>
    <w:rsid w:val="72802C82"/>
    <w:rsid w:val="7284673F"/>
    <w:rsid w:val="72896776"/>
    <w:rsid w:val="728C0EDD"/>
    <w:rsid w:val="72902235"/>
    <w:rsid w:val="729055BB"/>
    <w:rsid w:val="72952BD1"/>
    <w:rsid w:val="729627AE"/>
    <w:rsid w:val="72996404"/>
    <w:rsid w:val="729A5CC5"/>
    <w:rsid w:val="729A6F3C"/>
    <w:rsid w:val="729D1C6C"/>
    <w:rsid w:val="72A33828"/>
    <w:rsid w:val="72A340B3"/>
    <w:rsid w:val="72A6471C"/>
    <w:rsid w:val="72A73513"/>
    <w:rsid w:val="72A775C6"/>
    <w:rsid w:val="72AA7A20"/>
    <w:rsid w:val="72AB14FA"/>
    <w:rsid w:val="72B15531"/>
    <w:rsid w:val="72B46DE7"/>
    <w:rsid w:val="72B77970"/>
    <w:rsid w:val="72B90F0D"/>
    <w:rsid w:val="72BB015E"/>
    <w:rsid w:val="72BB1F0C"/>
    <w:rsid w:val="72BB62AA"/>
    <w:rsid w:val="72BD7A32"/>
    <w:rsid w:val="72C06329"/>
    <w:rsid w:val="72C12CC3"/>
    <w:rsid w:val="72CA72B4"/>
    <w:rsid w:val="72CB4663"/>
    <w:rsid w:val="72CE4243"/>
    <w:rsid w:val="72CE60E3"/>
    <w:rsid w:val="72D24578"/>
    <w:rsid w:val="72D305D9"/>
    <w:rsid w:val="72D31738"/>
    <w:rsid w:val="72D61019"/>
    <w:rsid w:val="72D61BCA"/>
    <w:rsid w:val="72D8486C"/>
    <w:rsid w:val="72DB435C"/>
    <w:rsid w:val="72DD3B49"/>
    <w:rsid w:val="72DF37C7"/>
    <w:rsid w:val="72E1527D"/>
    <w:rsid w:val="72E2393D"/>
    <w:rsid w:val="72E42174"/>
    <w:rsid w:val="72E42D95"/>
    <w:rsid w:val="72E6342D"/>
    <w:rsid w:val="72E70F53"/>
    <w:rsid w:val="72EB27F1"/>
    <w:rsid w:val="72F13B80"/>
    <w:rsid w:val="72F30399"/>
    <w:rsid w:val="72F7334D"/>
    <w:rsid w:val="72FA1A06"/>
    <w:rsid w:val="72FA63D0"/>
    <w:rsid w:val="72FB2A83"/>
    <w:rsid w:val="72FE007F"/>
    <w:rsid w:val="72FF6CD0"/>
    <w:rsid w:val="73007315"/>
    <w:rsid w:val="73012F97"/>
    <w:rsid w:val="730164FD"/>
    <w:rsid w:val="73046FE8"/>
    <w:rsid w:val="73070304"/>
    <w:rsid w:val="73082B89"/>
    <w:rsid w:val="730B45F5"/>
    <w:rsid w:val="730D6C0C"/>
    <w:rsid w:val="730F30E9"/>
    <w:rsid w:val="730F575A"/>
    <w:rsid w:val="73122968"/>
    <w:rsid w:val="7318735E"/>
    <w:rsid w:val="731A7025"/>
    <w:rsid w:val="731F5D5E"/>
    <w:rsid w:val="73217FC1"/>
    <w:rsid w:val="73263A43"/>
    <w:rsid w:val="732C0D5D"/>
    <w:rsid w:val="732E26DE"/>
    <w:rsid w:val="732E6B82"/>
    <w:rsid w:val="73306456"/>
    <w:rsid w:val="73350757"/>
    <w:rsid w:val="733625EF"/>
    <w:rsid w:val="733A4C56"/>
    <w:rsid w:val="733C0EFB"/>
    <w:rsid w:val="733F2B3D"/>
    <w:rsid w:val="73420C93"/>
    <w:rsid w:val="73440153"/>
    <w:rsid w:val="73446845"/>
    <w:rsid w:val="73463ECB"/>
    <w:rsid w:val="73475844"/>
    <w:rsid w:val="73490D6C"/>
    <w:rsid w:val="734A1D78"/>
    <w:rsid w:val="734A21EC"/>
    <w:rsid w:val="734B3186"/>
    <w:rsid w:val="734F0B09"/>
    <w:rsid w:val="7352461E"/>
    <w:rsid w:val="73525E12"/>
    <w:rsid w:val="7354180F"/>
    <w:rsid w:val="73552619"/>
    <w:rsid w:val="73590224"/>
    <w:rsid w:val="735D2FC3"/>
    <w:rsid w:val="735E0AC7"/>
    <w:rsid w:val="735E2F18"/>
    <w:rsid w:val="735F7D72"/>
    <w:rsid w:val="736053A3"/>
    <w:rsid w:val="73657A70"/>
    <w:rsid w:val="736A464B"/>
    <w:rsid w:val="736B56E0"/>
    <w:rsid w:val="736D585F"/>
    <w:rsid w:val="736D5D94"/>
    <w:rsid w:val="73702CF6"/>
    <w:rsid w:val="73734897"/>
    <w:rsid w:val="737712AF"/>
    <w:rsid w:val="73774085"/>
    <w:rsid w:val="73781BAB"/>
    <w:rsid w:val="737E4A61"/>
    <w:rsid w:val="73835CCC"/>
    <w:rsid w:val="73843119"/>
    <w:rsid w:val="738A200A"/>
    <w:rsid w:val="738E466E"/>
    <w:rsid w:val="739015EB"/>
    <w:rsid w:val="73902870"/>
    <w:rsid w:val="739660B8"/>
    <w:rsid w:val="73972979"/>
    <w:rsid w:val="739A7D73"/>
    <w:rsid w:val="739B0FF5"/>
    <w:rsid w:val="739E770B"/>
    <w:rsid w:val="73A129E9"/>
    <w:rsid w:val="73A155A6"/>
    <w:rsid w:val="73A34E7A"/>
    <w:rsid w:val="73A47B14"/>
    <w:rsid w:val="73A63A38"/>
    <w:rsid w:val="73A66718"/>
    <w:rsid w:val="73A76AF2"/>
    <w:rsid w:val="73A90D55"/>
    <w:rsid w:val="73A91836"/>
    <w:rsid w:val="73AC4C34"/>
    <w:rsid w:val="73B04F9D"/>
    <w:rsid w:val="73B07597"/>
    <w:rsid w:val="73B2330F"/>
    <w:rsid w:val="73B3566F"/>
    <w:rsid w:val="73B41CDD"/>
    <w:rsid w:val="73B51E86"/>
    <w:rsid w:val="73B72B30"/>
    <w:rsid w:val="73B87C2E"/>
    <w:rsid w:val="73B95EC2"/>
    <w:rsid w:val="73BA462F"/>
    <w:rsid w:val="73BC418E"/>
    <w:rsid w:val="73BF1263"/>
    <w:rsid w:val="73C173FB"/>
    <w:rsid w:val="73C40CA4"/>
    <w:rsid w:val="73C51294"/>
    <w:rsid w:val="73C51AD5"/>
    <w:rsid w:val="73C93553"/>
    <w:rsid w:val="73CA18F0"/>
    <w:rsid w:val="73CD0430"/>
    <w:rsid w:val="73CF09B4"/>
    <w:rsid w:val="73CF3EC1"/>
    <w:rsid w:val="73D414D7"/>
    <w:rsid w:val="73D54704"/>
    <w:rsid w:val="73D95E9E"/>
    <w:rsid w:val="73D96AEE"/>
    <w:rsid w:val="73E03EBB"/>
    <w:rsid w:val="73E060CE"/>
    <w:rsid w:val="73E54C2A"/>
    <w:rsid w:val="73E60E83"/>
    <w:rsid w:val="73E82FDC"/>
    <w:rsid w:val="73E93103"/>
    <w:rsid w:val="73EA2AA9"/>
    <w:rsid w:val="73EB17E7"/>
    <w:rsid w:val="73ED01C8"/>
    <w:rsid w:val="73EF4563"/>
    <w:rsid w:val="73F0491D"/>
    <w:rsid w:val="73F22BF3"/>
    <w:rsid w:val="73F30C0B"/>
    <w:rsid w:val="73F43927"/>
    <w:rsid w:val="73F92BC4"/>
    <w:rsid w:val="73FA61FA"/>
    <w:rsid w:val="73FE0A0B"/>
    <w:rsid w:val="73FE1199"/>
    <w:rsid w:val="73FE41D9"/>
    <w:rsid w:val="73FE47A6"/>
    <w:rsid w:val="7400161C"/>
    <w:rsid w:val="74011C9C"/>
    <w:rsid w:val="74014307"/>
    <w:rsid w:val="740468D2"/>
    <w:rsid w:val="74065409"/>
    <w:rsid w:val="74067F66"/>
    <w:rsid w:val="74073625"/>
    <w:rsid w:val="740E39DE"/>
    <w:rsid w:val="74121311"/>
    <w:rsid w:val="74125035"/>
    <w:rsid w:val="74144C41"/>
    <w:rsid w:val="74147A7E"/>
    <w:rsid w:val="741579C8"/>
    <w:rsid w:val="74161AF0"/>
    <w:rsid w:val="741D62AC"/>
    <w:rsid w:val="741E793C"/>
    <w:rsid w:val="742066C6"/>
    <w:rsid w:val="74217B37"/>
    <w:rsid w:val="742D37FD"/>
    <w:rsid w:val="742F4960"/>
    <w:rsid w:val="7431044F"/>
    <w:rsid w:val="7436403E"/>
    <w:rsid w:val="74385800"/>
    <w:rsid w:val="743C0E2B"/>
    <w:rsid w:val="743C44BD"/>
    <w:rsid w:val="743D2FB6"/>
    <w:rsid w:val="743D7118"/>
    <w:rsid w:val="744155D0"/>
    <w:rsid w:val="74425F60"/>
    <w:rsid w:val="74471CA9"/>
    <w:rsid w:val="74472988"/>
    <w:rsid w:val="74475AC9"/>
    <w:rsid w:val="744C5512"/>
    <w:rsid w:val="744E2B97"/>
    <w:rsid w:val="744F1805"/>
    <w:rsid w:val="74511414"/>
    <w:rsid w:val="74542618"/>
    <w:rsid w:val="7454431C"/>
    <w:rsid w:val="74582275"/>
    <w:rsid w:val="745D327B"/>
    <w:rsid w:val="745E3944"/>
    <w:rsid w:val="745E6FDE"/>
    <w:rsid w:val="745F2EF5"/>
    <w:rsid w:val="74604B19"/>
    <w:rsid w:val="74635E49"/>
    <w:rsid w:val="74651968"/>
    <w:rsid w:val="746565D3"/>
    <w:rsid w:val="746B0B7E"/>
    <w:rsid w:val="746C1710"/>
    <w:rsid w:val="74703F65"/>
    <w:rsid w:val="74714F78"/>
    <w:rsid w:val="74716D26"/>
    <w:rsid w:val="74723CEC"/>
    <w:rsid w:val="7472484C"/>
    <w:rsid w:val="74746307"/>
    <w:rsid w:val="74746BB3"/>
    <w:rsid w:val="747800B5"/>
    <w:rsid w:val="747A1DDB"/>
    <w:rsid w:val="747A31D6"/>
    <w:rsid w:val="747D3871"/>
    <w:rsid w:val="747E5C2F"/>
    <w:rsid w:val="747F349D"/>
    <w:rsid w:val="747F58E7"/>
    <w:rsid w:val="74827185"/>
    <w:rsid w:val="748A0219"/>
    <w:rsid w:val="748B21DB"/>
    <w:rsid w:val="748B7CAA"/>
    <w:rsid w:val="748E4270"/>
    <w:rsid w:val="748F0066"/>
    <w:rsid w:val="74915EC7"/>
    <w:rsid w:val="74962C31"/>
    <w:rsid w:val="74974BEF"/>
    <w:rsid w:val="74975C19"/>
    <w:rsid w:val="749B38E2"/>
    <w:rsid w:val="749B3DA3"/>
    <w:rsid w:val="749C49CC"/>
    <w:rsid w:val="749F24C3"/>
    <w:rsid w:val="74A03EF3"/>
    <w:rsid w:val="74A64132"/>
    <w:rsid w:val="74A76BEC"/>
    <w:rsid w:val="74A94EAA"/>
    <w:rsid w:val="74A975EB"/>
    <w:rsid w:val="74AD2A61"/>
    <w:rsid w:val="74AE1D28"/>
    <w:rsid w:val="74B35D70"/>
    <w:rsid w:val="74B85E59"/>
    <w:rsid w:val="74BB61F3"/>
    <w:rsid w:val="74BD3D1D"/>
    <w:rsid w:val="74BD56ED"/>
    <w:rsid w:val="74C92D25"/>
    <w:rsid w:val="74CD2C21"/>
    <w:rsid w:val="74CE7A47"/>
    <w:rsid w:val="74CF151E"/>
    <w:rsid w:val="74D06143"/>
    <w:rsid w:val="74D177C5"/>
    <w:rsid w:val="74D23919"/>
    <w:rsid w:val="74D3178F"/>
    <w:rsid w:val="74D55445"/>
    <w:rsid w:val="74D60B1C"/>
    <w:rsid w:val="74D700BC"/>
    <w:rsid w:val="74DD2E0C"/>
    <w:rsid w:val="74DF05F2"/>
    <w:rsid w:val="74DF53D6"/>
    <w:rsid w:val="74E53270"/>
    <w:rsid w:val="74EB6AD9"/>
    <w:rsid w:val="74EB7B8A"/>
    <w:rsid w:val="74F00593"/>
    <w:rsid w:val="74F0120D"/>
    <w:rsid w:val="74F040EF"/>
    <w:rsid w:val="74F11CEA"/>
    <w:rsid w:val="74F144A2"/>
    <w:rsid w:val="74F17773"/>
    <w:rsid w:val="74F21CE7"/>
    <w:rsid w:val="74F33160"/>
    <w:rsid w:val="74F40C03"/>
    <w:rsid w:val="74F51705"/>
    <w:rsid w:val="74F57957"/>
    <w:rsid w:val="74F6722B"/>
    <w:rsid w:val="74F707FC"/>
    <w:rsid w:val="74F97549"/>
    <w:rsid w:val="74FA55F5"/>
    <w:rsid w:val="74FE42DC"/>
    <w:rsid w:val="75002EF4"/>
    <w:rsid w:val="750243E1"/>
    <w:rsid w:val="75030B9E"/>
    <w:rsid w:val="7507768A"/>
    <w:rsid w:val="75096F5F"/>
    <w:rsid w:val="750A1895"/>
    <w:rsid w:val="750A574A"/>
    <w:rsid w:val="750C6A4F"/>
    <w:rsid w:val="750C792B"/>
    <w:rsid w:val="750D245B"/>
    <w:rsid w:val="750D4B8A"/>
    <w:rsid w:val="750F78DA"/>
    <w:rsid w:val="75111D92"/>
    <w:rsid w:val="75120509"/>
    <w:rsid w:val="75134281"/>
    <w:rsid w:val="75152EB7"/>
    <w:rsid w:val="75154A19"/>
    <w:rsid w:val="75157C52"/>
    <w:rsid w:val="7516167C"/>
    <w:rsid w:val="7516174A"/>
    <w:rsid w:val="75175B20"/>
    <w:rsid w:val="75181C64"/>
    <w:rsid w:val="751A73BE"/>
    <w:rsid w:val="751A79FD"/>
    <w:rsid w:val="751B50A9"/>
    <w:rsid w:val="751D5C73"/>
    <w:rsid w:val="75215013"/>
    <w:rsid w:val="75217FFB"/>
    <w:rsid w:val="75222256"/>
    <w:rsid w:val="752415AA"/>
    <w:rsid w:val="7524775A"/>
    <w:rsid w:val="75251482"/>
    <w:rsid w:val="75252946"/>
    <w:rsid w:val="75267B11"/>
    <w:rsid w:val="752710C8"/>
    <w:rsid w:val="7527409E"/>
    <w:rsid w:val="75295550"/>
    <w:rsid w:val="752B15CB"/>
    <w:rsid w:val="752B3379"/>
    <w:rsid w:val="752D5343"/>
    <w:rsid w:val="752F7D9C"/>
    <w:rsid w:val="753471FE"/>
    <w:rsid w:val="753508CA"/>
    <w:rsid w:val="75354E77"/>
    <w:rsid w:val="75377F70"/>
    <w:rsid w:val="753B336B"/>
    <w:rsid w:val="753E5F74"/>
    <w:rsid w:val="753F7976"/>
    <w:rsid w:val="75406648"/>
    <w:rsid w:val="75407E9E"/>
    <w:rsid w:val="75412B9C"/>
    <w:rsid w:val="75427BDB"/>
    <w:rsid w:val="75431B6A"/>
    <w:rsid w:val="75440E5E"/>
    <w:rsid w:val="754412CC"/>
    <w:rsid w:val="754475DB"/>
    <w:rsid w:val="75475CD9"/>
    <w:rsid w:val="754819CE"/>
    <w:rsid w:val="7548217D"/>
    <w:rsid w:val="7548423C"/>
    <w:rsid w:val="754A5259"/>
    <w:rsid w:val="754C1D95"/>
    <w:rsid w:val="754D170B"/>
    <w:rsid w:val="754F523A"/>
    <w:rsid w:val="75511C6E"/>
    <w:rsid w:val="75524EE6"/>
    <w:rsid w:val="75540221"/>
    <w:rsid w:val="7555340F"/>
    <w:rsid w:val="75597BAB"/>
    <w:rsid w:val="755A3579"/>
    <w:rsid w:val="755D54FC"/>
    <w:rsid w:val="755E0604"/>
    <w:rsid w:val="755E78D7"/>
    <w:rsid w:val="755F564A"/>
    <w:rsid w:val="75614083"/>
    <w:rsid w:val="75637AE7"/>
    <w:rsid w:val="756966F2"/>
    <w:rsid w:val="756D3991"/>
    <w:rsid w:val="75701D8D"/>
    <w:rsid w:val="7574395E"/>
    <w:rsid w:val="75745576"/>
    <w:rsid w:val="75745736"/>
    <w:rsid w:val="75750A98"/>
    <w:rsid w:val="757646EE"/>
    <w:rsid w:val="75774810"/>
    <w:rsid w:val="757C5983"/>
    <w:rsid w:val="757E794D"/>
    <w:rsid w:val="757F1917"/>
    <w:rsid w:val="7581743D"/>
    <w:rsid w:val="758273AB"/>
    <w:rsid w:val="75882579"/>
    <w:rsid w:val="758867BA"/>
    <w:rsid w:val="758B50A2"/>
    <w:rsid w:val="758D5DE2"/>
    <w:rsid w:val="758F1B5A"/>
    <w:rsid w:val="759058D2"/>
    <w:rsid w:val="75907680"/>
    <w:rsid w:val="75910373"/>
    <w:rsid w:val="75922FC1"/>
    <w:rsid w:val="759233F8"/>
    <w:rsid w:val="759336D5"/>
    <w:rsid w:val="7594202D"/>
    <w:rsid w:val="75975C9E"/>
    <w:rsid w:val="75981358"/>
    <w:rsid w:val="759A04FF"/>
    <w:rsid w:val="759A2784"/>
    <w:rsid w:val="759C6025"/>
    <w:rsid w:val="75A12B14"/>
    <w:rsid w:val="75A221D2"/>
    <w:rsid w:val="75A26C49"/>
    <w:rsid w:val="75A629FF"/>
    <w:rsid w:val="75A66EA3"/>
    <w:rsid w:val="75A82C1C"/>
    <w:rsid w:val="75A90742"/>
    <w:rsid w:val="75AF05E9"/>
    <w:rsid w:val="75B07D22"/>
    <w:rsid w:val="75B23E2E"/>
    <w:rsid w:val="75B64972"/>
    <w:rsid w:val="75BB0819"/>
    <w:rsid w:val="75BE243F"/>
    <w:rsid w:val="75BE41ED"/>
    <w:rsid w:val="75BE7C74"/>
    <w:rsid w:val="75BF1F06"/>
    <w:rsid w:val="75C07904"/>
    <w:rsid w:val="75C138D0"/>
    <w:rsid w:val="75C13CDD"/>
    <w:rsid w:val="75C73565"/>
    <w:rsid w:val="75C822D1"/>
    <w:rsid w:val="75CA2B50"/>
    <w:rsid w:val="75D01F32"/>
    <w:rsid w:val="75D06D7B"/>
    <w:rsid w:val="75D115AF"/>
    <w:rsid w:val="75D3636C"/>
    <w:rsid w:val="75DA6B4D"/>
    <w:rsid w:val="75DB01FE"/>
    <w:rsid w:val="75DE4A6A"/>
    <w:rsid w:val="75E31E99"/>
    <w:rsid w:val="75E33B80"/>
    <w:rsid w:val="75E459D2"/>
    <w:rsid w:val="75E46A7C"/>
    <w:rsid w:val="75E8126A"/>
    <w:rsid w:val="75EA539C"/>
    <w:rsid w:val="75EB1C30"/>
    <w:rsid w:val="75EB48B6"/>
    <w:rsid w:val="75ED450B"/>
    <w:rsid w:val="75F367E7"/>
    <w:rsid w:val="75F37C14"/>
    <w:rsid w:val="75F74BDF"/>
    <w:rsid w:val="75F75C2D"/>
    <w:rsid w:val="75F80355"/>
    <w:rsid w:val="75FC5811"/>
    <w:rsid w:val="75FE3C65"/>
    <w:rsid w:val="75FF0362"/>
    <w:rsid w:val="75FF63B1"/>
    <w:rsid w:val="76001936"/>
    <w:rsid w:val="760360A4"/>
    <w:rsid w:val="76045978"/>
    <w:rsid w:val="7605214C"/>
    <w:rsid w:val="760627EA"/>
    <w:rsid w:val="7606509A"/>
    <w:rsid w:val="760A1083"/>
    <w:rsid w:val="760D0CD1"/>
    <w:rsid w:val="760E77E5"/>
    <w:rsid w:val="760E7B23"/>
    <w:rsid w:val="760F3B1A"/>
    <w:rsid w:val="761045B1"/>
    <w:rsid w:val="761265AF"/>
    <w:rsid w:val="761336C7"/>
    <w:rsid w:val="76136351"/>
    <w:rsid w:val="761604A8"/>
    <w:rsid w:val="7618211B"/>
    <w:rsid w:val="76186777"/>
    <w:rsid w:val="761A0060"/>
    <w:rsid w:val="761B511F"/>
    <w:rsid w:val="761C0F14"/>
    <w:rsid w:val="76220C9A"/>
    <w:rsid w:val="76236746"/>
    <w:rsid w:val="76247CE8"/>
    <w:rsid w:val="76257D5C"/>
    <w:rsid w:val="7628080D"/>
    <w:rsid w:val="76283D5C"/>
    <w:rsid w:val="762A6FF4"/>
    <w:rsid w:val="762B0E62"/>
    <w:rsid w:val="762C2EF3"/>
    <w:rsid w:val="76334F41"/>
    <w:rsid w:val="7635099D"/>
    <w:rsid w:val="76377B9E"/>
    <w:rsid w:val="76391AC6"/>
    <w:rsid w:val="76394C68"/>
    <w:rsid w:val="763A3806"/>
    <w:rsid w:val="763B35C5"/>
    <w:rsid w:val="763D78C3"/>
    <w:rsid w:val="763E2968"/>
    <w:rsid w:val="763F1E1F"/>
    <w:rsid w:val="763F4D3E"/>
    <w:rsid w:val="764346F2"/>
    <w:rsid w:val="76437ED3"/>
    <w:rsid w:val="764568A1"/>
    <w:rsid w:val="764A782F"/>
    <w:rsid w:val="764B35A7"/>
    <w:rsid w:val="764F13E6"/>
    <w:rsid w:val="76500BBD"/>
    <w:rsid w:val="76515061"/>
    <w:rsid w:val="7656379C"/>
    <w:rsid w:val="765863F0"/>
    <w:rsid w:val="76595CC4"/>
    <w:rsid w:val="765B0942"/>
    <w:rsid w:val="765B722A"/>
    <w:rsid w:val="765C4B26"/>
    <w:rsid w:val="765F275F"/>
    <w:rsid w:val="766034F6"/>
    <w:rsid w:val="76613012"/>
    <w:rsid w:val="766B4853"/>
    <w:rsid w:val="766C077C"/>
    <w:rsid w:val="766D176F"/>
    <w:rsid w:val="766D46C0"/>
    <w:rsid w:val="767C213F"/>
    <w:rsid w:val="767D6362"/>
    <w:rsid w:val="76805946"/>
    <w:rsid w:val="76834F56"/>
    <w:rsid w:val="76852F5D"/>
    <w:rsid w:val="76854A39"/>
    <w:rsid w:val="76857BC9"/>
    <w:rsid w:val="76875B4E"/>
    <w:rsid w:val="768760D9"/>
    <w:rsid w:val="76876B8C"/>
    <w:rsid w:val="768C0572"/>
    <w:rsid w:val="769510CD"/>
    <w:rsid w:val="76962A74"/>
    <w:rsid w:val="76982C90"/>
    <w:rsid w:val="769A6D34"/>
    <w:rsid w:val="769B0279"/>
    <w:rsid w:val="76A05CB8"/>
    <w:rsid w:val="76A27E8D"/>
    <w:rsid w:val="76A50F09"/>
    <w:rsid w:val="76A623E1"/>
    <w:rsid w:val="76AA4771"/>
    <w:rsid w:val="76AB6273"/>
    <w:rsid w:val="76AC6AD9"/>
    <w:rsid w:val="76AC7415"/>
    <w:rsid w:val="76B80C3C"/>
    <w:rsid w:val="76B850E0"/>
    <w:rsid w:val="76BC69EA"/>
    <w:rsid w:val="76BD4232"/>
    <w:rsid w:val="76BD44A5"/>
    <w:rsid w:val="76BE6843"/>
    <w:rsid w:val="76C06CCE"/>
    <w:rsid w:val="76C21260"/>
    <w:rsid w:val="76C24D3F"/>
    <w:rsid w:val="76C337BE"/>
    <w:rsid w:val="76C64060"/>
    <w:rsid w:val="76C75323"/>
    <w:rsid w:val="76C84099"/>
    <w:rsid w:val="76C95170"/>
    <w:rsid w:val="76CF1C1E"/>
    <w:rsid w:val="76D54A45"/>
    <w:rsid w:val="76D54B8D"/>
    <w:rsid w:val="76DA480B"/>
    <w:rsid w:val="76DD4DE8"/>
    <w:rsid w:val="76DD68F5"/>
    <w:rsid w:val="76E23F0B"/>
    <w:rsid w:val="76E50F79"/>
    <w:rsid w:val="76E52028"/>
    <w:rsid w:val="76E5315F"/>
    <w:rsid w:val="76E71522"/>
    <w:rsid w:val="76E926FE"/>
    <w:rsid w:val="76EE28B0"/>
    <w:rsid w:val="76EF03D6"/>
    <w:rsid w:val="76EF5CAD"/>
    <w:rsid w:val="76F005D0"/>
    <w:rsid w:val="76F012FB"/>
    <w:rsid w:val="76F03C70"/>
    <w:rsid w:val="76F123A0"/>
    <w:rsid w:val="76F260A0"/>
    <w:rsid w:val="76F346C7"/>
    <w:rsid w:val="76F37003"/>
    <w:rsid w:val="76F53C3E"/>
    <w:rsid w:val="76FD28A3"/>
    <w:rsid w:val="76FE7909"/>
    <w:rsid w:val="76FF686B"/>
    <w:rsid w:val="77020109"/>
    <w:rsid w:val="770420D4"/>
    <w:rsid w:val="7706360D"/>
    <w:rsid w:val="770C71DA"/>
    <w:rsid w:val="770E0614"/>
    <w:rsid w:val="770E3416"/>
    <w:rsid w:val="77106CCA"/>
    <w:rsid w:val="7711272C"/>
    <w:rsid w:val="771709C0"/>
    <w:rsid w:val="771908EE"/>
    <w:rsid w:val="77197ED4"/>
    <w:rsid w:val="771A18F7"/>
    <w:rsid w:val="771D4F43"/>
    <w:rsid w:val="771F6A91"/>
    <w:rsid w:val="77287BA6"/>
    <w:rsid w:val="77290484"/>
    <w:rsid w:val="772E53A2"/>
    <w:rsid w:val="772E7150"/>
    <w:rsid w:val="772F6BF8"/>
    <w:rsid w:val="7731279D"/>
    <w:rsid w:val="77324E93"/>
    <w:rsid w:val="773329B9"/>
    <w:rsid w:val="77335E8E"/>
    <w:rsid w:val="77352528"/>
    <w:rsid w:val="77392429"/>
    <w:rsid w:val="773A78A3"/>
    <w:rsid w:val="773B2392"/>
    <w:rsid w:val="773B430D"/>
    <w:rsid w:val="773D55E5"/>
    <w:rsid w:val="77436BEF"/>
    <w:rsid w:val="774808B4"/>
    <w:rsid w:val="774A2BB6"/>
    <w:rsid w:val="774C0A76"/>
    <w:rsid w:val="7750551D"/>
    <w:rsid w:val="775070C7"/>
    <w:rsid w:val="7754381B"/>
    <w:rsid w:val="775A1CF3"/>
    <w:rsid w:val="775C08F6"/>
    <w:rsid w:val="775E4D04"/>
    <w:rsid w:val="775E5C88"/>
    <w:rsid w:val="775E6874"/>
    <w:rsid w:val="775F3697"/>
    <w:rsid w:val="775F4D21"/>
    <w:rsid w:val="77600B66"/>
    <w:rsid w:val="7760103E"/>
    <w:rsid w:val="77664B3C"/>
    <w:rsid w:val="776B115C"/>
    <w:rsid w:val="776D1D21"/>
    <w:rsid w:val="777059BB"/>
    <w:rsid w:val="77742EA4"/>
    <w:rsid w:val="77762421"/>
    <w:rsid w:val="777862DA"/>
    <w:rsid w:val="7778661E"/>
    <w:rsid w:val="777A232D"/>
    <w:rsid w:val="777B11CF"/>
    <w:rsid w:val="777C4360"/>
    <w:rsid w:val="777C5545"/>
    <w:rsid w:val="777D3C34"/>
    <w:rsid w:val="778323DA"/>
    <w:rsid w:val="77854A07"/>
    <w:rsid w:val="77860D3A"/>
    <w:rsid w:val="77892693"/>
    <w:rsid w:val="778B45A3"/>
    <w:rsid w:val="778B5F1E"/>
    <w:rsid w:val="778D037C"/>
    <w:rsid w:val="77920F45"/>
    <w:rsid w:val="779455FA"/>
    <w:rsid w:val="7796777B"/>
    <w:rsid w:val="7798281C"/>
    <w:rsid w:val="7799686D"/>
    <w:rsid w:val="779A47E6"/>
    <w:rsid w:val="77A10A92"/>
    <w:rsid w:val="77A25E50"/>
    <w:rsid w:val="77A47413"/>
    <w:rsid w:val="77A5284B"/>
    <w:rsid w:val="77A94803"/>
    <w:rsid w:val="77AD4F90"/>
    <w:rsid w:val="77AF3FEB"/>
    <w:rsid w:val="77B35B76"/>
    <w:rsid w:val="77B37656"/>
    <w:rsid w:val="77B51620"/>
    <w:rsid w:val="77B56B1F"/>
    <w:rsid w:val="77B92D76"/>
    <w:rsid w:val="77C17FC5"/>
    <w:rsid w:val="77C27899"/>
    <w:rsid w:val="77C655DB"/>
    <w:rsid w:val="77CD42A0"/>
    <w:rsid w:val="77CD7B4C"/>
    <w:rsid w:val="77D25D2E"/>
    <w:rsid w:val="77D46DDF"/>
    <w:rsid w:val="77D777E8"/>
    <w:rsid w:val="77DA4BE2"/>
    <w:rsid w:val="77DB6824"/>
    <w:rsid w:val="77DC7346"/>
    <w:rsid w:val="77E41B82"/>
    <w:rsid w:val="77E57A30"/>
    <w:rsid w:val="77E700E1"/>
    <w:rsid w:val="77E70EE6"/>
    <w:rsid w:val="77E738D6"/>
    <w:rsid w:val="77EA18BC"/>
    <w:rsid w:val="77EB3EFF"/>
    <w:rsid w:val="77F04406"/>
    <w:rsid w:val="77F2017E"/>
    <w:rsid w:val="77F57C6E"/>
    <w:rsid w:val="77F739E6"/>
    <w:rsid w:val="77FC2B3A"/>
    <w:rsid w:val="77FC2DAB"/>
    <w:rsid w:val="77FD4F9D"/>
    <w:rsid w:val="77FD5E2D"/>
    <w:rsid w:val="780416B5"/>
    <w:rsid w:val="78066D81"/>
    <w:rsid w:val="7808174F"/>
    <w:rsid w:val="780D6D66"/>
    <w:rsid w:val="780F09F4"/>
    <w:rsid w:val="781225CE"/>
    <w:rsid w:val="78140451"/>
    <w:rsid w:val="78150E9A"/>
    <w:rsid w:val="78164A99"/>
    <w:rsid w:val="781B5927"/>
    <w:rsid w:val="781D5239"/>
    <w:rsid w:val="781E0F73"/>
    <w:rsid w:val="78264866"/>
    <w:rsid w:val="7826607A"/>
    <w:rsid w:val="782C7B34"/>
    <w:rsid w:val="782E45F5"/>
    <w:rsid w:val="782F4F2E"/>
    <w:rsid w:val="78322549"/>
    <w:rsid w:val="783A38D3"/>
    <w:rsid w:val="783C198F"/>
    <w:rsid w:val="783C61CC"/>
    <w:rsid w:val="783E7867"/>
    <w:rsid w:val="783F2998"/>
    <w:rsid w:val="7840771E"/>
    <w:rsid w:val="78414C61"/>
    <w:rsid w:val="7842434F"/>
    <w:rsid w:val="7843056B"/>
    <w:rsid w:val="7843219C"/>
    <w:rsid w:val="78440011"/>
    <w:rsid w:val="78451C24"/>
    <w:rsid w:val="784529A4"/>
    <w:rsid w:val="78482494"/>
    <w:rsid w:val="78484242"/>
    <w:rsid w:val="784B5AE0"/>
    <w:rsid w:val="784F656D"/>
    <w:rsid w:val="784F737E"/>
    <w:rsid w:val="78502D28"/>
    <w:rsid w:val="7856695F"/>
    <w:rsid w:val="785906A3"/>
    <w:rsid w:val="785C0155"/>
    <w:rsid w:val="785D1862"/>
    <w:rsid w:val="785E75C1"/>
    <w:rsid w:val="785F5584"/>
    <w:rsid w:val="78603EFC"/>
    <w:rsid w:val="78606A0E"/>
    <w:rsid w:val="78637444"/>
    <w:rsid w:val="7864675B"/>
    <w:rsid w:val="78663F8F"/>
    <w:rsid w:val="786935F0"/>
    <w:rsid w:val="786A2613"/>
    <w:rsid w:val="786C4296"/>
    <w:rsid w:val="786C501C"/>
    <w:rsid w:val="786F3A75"/>
    <w:rsid w:val="786F7A21"/>
    <w:rsid w:val="78712A93"/>
    <w:rsid w:val="78727511"/>
    <w:rsid w:val="78745037"/>
    <w:rsid w:val="78750F88"/>
    <w:rsid w:val="78776B2A"/>
    <w:rsid w:val="7879089F"/>
    <w:rsid w:val="787C4DA0"/>
    <w:rsid w:val="787E69C5"/>
    <w:rsid w:val="78830352"/>
    <w:rsid w:val="788342A3"/>
    <w:rsid w:val="78835CEC"/>
    <w:rsid w:val="78862849"/>
    <w:rsid w:val="7887240E"/>
    <w:rsid w:val="78872FBC"/>
    <w:rsid w:val="78886D34"/>
    <w:rsid w:val="788D0D6D"/>
    <w:rsid w:val="788F5C19"/>
    <w:rsid w:val="789234A5"/>
    <w:rsid w:val="789366E3"/>
    <w:rsid w:val="78940339"/>
    <w:rsid w:val="78944922"/>
    <w:rsid w:val="78947487"/>
    <w:rsid w:val="789578AF"/>
    <w:rsid w:val="78980ABE"/>
    <w:rsid w:val="78992B87"/>
    <w:rsid w:val="789C633C"/>
    <w:rsid w:val="789D2B65"/>
    <w:rsid w:val="789E0306"/>
    <w:rsid w:val="789E5AFE"/>
    <w:rsid w:val="78A05E2C"/>
    <w:rsid w:val="78A15E8F"/>
    <w:rsid w:val="78A90480"/>
    <w:rsid w:val="78AB31DB"/>
    <w:rsid w:val="78AC1F6C"/>
    <w:rsid w:val="78AC2A23"/>
    <w:rsid w:val="78AC657F"/>
    <w:rsid w:val="78AF3985"/>
    <w:rsid w:val="78B32500"/>
    <w:rsid w:val="78B46BF6"/>
    <w:rsid w:val="78B611AB"/>
    <w:rsid w:val="78B65952"/>
    <w:rsid w:val="78B82E41"/>
    <w:rsid w:val="78BA7481"/>
    <w:rsid w:val="78BB276B"/>
    <w:rsid w:val="78BF0412"/>
    <w:rsid w:val="78C23632"/>
    <w:rsid w:val="78C530A1"/>
    <w:rsid w:val="78C531AD"/>
    <w:rsid w:val="78C55892"/>
    <w:rsid w:val="78C75C05"/>
    <w:rsid w:val="78CB296A"/>
    <w:rsid w:val="78CB6B4A"/>
    <w:rsid w:val="78CC05E7"/>
    <w:rsid w:val="78CC6C21"/>
    <w:rsid w:val="78CE4DFF"/>
    <w:rsid w:val="78D008E3"/>
    <w:rsid w:val="78D60CDE"/>
    <w:rsid w:val="78DA60A6"/>
    <w:rsid w:val="78DC773D"/>
    <w:rsid w:val="78E3275D"/>
    <w:rsid w:val="78E43BE6"/>
    <w:rsid w:val="78E72211"/>
    <w:rsid w:val="78E73C5F"/>
    <w:rsid w:val="78E95FC9"/>
    <w:rsid w:val="78EB5CD2"/>
    <w:rsid w:val="78EB6FA2"/>
    <w:rsid w:val="78EC1461"/>
    <w:rsid w:val="78ED226F"/>
    <w:rsid w:val="78F148D9"/>
    <w:rsid w:val="78F23E3C"/>
    <w:rsid w:val="78F30652"/>
    <w:rsid w:val="78F32001"/>
    <w:rsid w:val="78F9553C"/>
    <w:rsid w:val="78FB7506"/>
    <w:rsid w:val="78FF3476"/>
    <w:rsid w:val="7900255B"/>
    <w:rsid w:val="79022643"/>
    <w:rsid w:val="7904192A"/>
    <w:rsid w:val="7904460D"/>
    <w:rsid w:val="790764BD"/>
    <w:rsid w:val="7908553C"/>
    <w:rsid w:val="790D377B"/>
    <w:rsid w:val="791028DC"/>
    <w:rsid w:val="79183C14"/>
    <w:rsid w:val="791C7666"/>
    <w:rsid w:val="791F1447"/>
    <w:rsid w:val="79224130"/>
    <w:rsid w:val="792272B7"/>
    <w:rsid w:val="7925425B"/>
    <w:rsid w:val="79280275"/>
    <w:rsid w:val="79291663"/>
    <w:rsid w:val="792A1B99"/>
    <w:rsid w:val="792C5064"/>
    <w:rsid w:val="792C76C0"/>
    <w:rsid w:val="792E6243"/>
    <w:rsid w:val="792F05D8"/>
    <w:rsid w:val="792F71CD"/>
    <w:rsid w:val="7931117A"/>
    <w:rsid w:val="79334EF2"/>
    <w:rsid w:val="793515A0"/>
    <w:rsid w:val="793A1DDD"/>
    <w:rsid w:val="793B3676"/>
    <w:rsid w:val="793B3DA7"/>
    <w:rsid w:val="793C18C4"/>
    <w:rsid w:val="793F1D99"/>
    <w:rsid w:val="7940157A"/>
    <w:rsid w:val="794409EF"/>
    <w:rsid w:val="794507DD"/>
    <w:rsid w:val="79455C0B"/>
    <w:rsid w:val="79466F7C"/>
    <w:rsid w:val="794762A8"/>
    <w:rsid w:val="794769C3"/>
    <w:rsid w:val="79487857"/>
    <w:rsid w:val="79496B3A"/>
    <w:rsid w:val="794E3ADA"/>
    <w:rsid w:val="794F0C56"/>
    <w:rsid w:val="79501600"/>
    <w:rsid w:val="79515378"/>
    <w:rsid w:val="79532213"/>
    <w:rsid w:val="79534C4C"/>
    <w:rsid w:val="7957666A"/>
    <w:rsid w:val="795814B0"/>
    <w:rsid w:val="795D2751"/>
    <w:rsid w:val="79621721"/>
    <w:rsid w:val="79636283"/>
    <w:rsid w:val="79684A76"/>
    <w:rsid w:val="796A2E48"/>
    <w:rsid w:val="79725771"/>
    <w:rsid w:val="79733540"/>
    <w:rsid w:val="797511EA"/>
    <w:rsid w:val="797572B9"/>
    <w:rsid w:val="797844BF"/>
    <w:rsid w:val="79796419"/>
    <w:rsid w:val="797974B9"/>
    <w:rsid w:val="797C1055"/>
    <w:rsid w:val="797D7F1B"/>
    <w:rsid w:val="797E10DE"/>
    <w:rsid w:val="797E15B4"/>
    <w:rsid w:val="79822FDC"/>
    <w:rsid w:val="79823DAB"/>
    <w:rsid w:val="79823F75"/>
    <w:rsid w:val="798412AA"/>
    <w:rsid w:val="79867030"/>
    <w:rsid w:val="79870CFB"/>
    <w:rsid w:val="79870E4D"/>
    <w:rsid w:val="798B03F2"/>
    <w:rsid w:val="798C4122"/>
    <w:rsid w:val="798E210C"/>
    <w:rsid w:val="79921C19"/>
    <w:rsid w:val="79924211"/>
    <w:rsid w:val="79933682"/>
    <w:rsid w:val="79955265"/>
    <w:rsid w:val="7995686F"/>
    <w:rsid w:val="799C38B8"/>
    <w:rsid w:val="799D0834"/>
    <w:rsid w:val="799E7BC4"/>
    <w:rsid w:val="799F3FDB"/>
    <w:rsid w:val="79A75717"/>
    <w:rsid w:val="79A85561"/>
    <w:rsid w:val="79A951B4"/>
    <w:rsid w:val="79AD1484"/>
    <w:rsid w:val="79AD7DC9"/>
    <w:rsid w:val="79AE32B1"/>
    <w:rsid w:val="79B07F95"/>
    <w:rsid w:val="79B17BC5"/>
    <w:rsid w:val="79B54A80"/>
    <w:rsid w:val="79B672FA"/>
    <w:rsid w:val="79BA0F3E"/>
    <w:rsid w:val="79BB3178"/>
    <w:rsid w:val="79BC31A3"/>
    <w:rsid w:val="79BF0534"/>
    <w:rsid w:val="79C67B14"/>
    <w:rsid w:val="79D02741"/>
    <w:rsid w:val="79D12015"/>
    <w:rsid w:val="79D75B1B"/>
    <w:rsid w:val="79DC620E"/>
    <w:rsid w:val="79DD2370"/>
    <w:rsid w:val="79E005EE"/>
    <w:rsid w:val="79E104AA"/>
    <w:rsid w:val="79E2525E"/>
    <w:rsid w:val="79E66E3D"/>
    <w:rsid w:val="79E70B47"/>
    <w:rsid w:val="79EA2E23"/>
    <w:rsid w:val="79EA327F"/>
    <w:rsid w:val="79EB30D7"/>
    <w:rsid w:val="79ED5660"/>
    <w:rsid w:val="79F0205C"/>
    <w:rsid w:val="79F04B91"/>
    <w:rsid w:val="79F11F87"/>
    <w:rsid w:val="79F25EB6"/>
    <w:rsid w:val="79F26109"/>
    <w:rsid w:val="79F27D73"/>
    <w:rsid w:val="79F65B9E"/>
    <w:rsid w:val="79FA5C34"/>
    <w:rsid w:val="79FC3536"/>
    <w:rsid w:val="79FD2E0A"/>
    <w:rsid w:val="79FE6BB5"/>
    <w:rsid w:val="79FE787B"/>
    <w:rsid w:val="79FF3026"/>
    <w:rsid w:val="7A0148B2"/>
    <w:rsid w:val="7A0643EE"/>
    <w:rsid w:val="7A073617"/>
    <w:rsid w:val="7A0858DB"/>
    <w:rsid w:val="7A0A4DA2"/>
    <w:rsid w:val="7A0D129F"/>
    <w:rsid w:val="7A0F2E64"/>
    <w:rsid w:val="7A126B9D"/>
    <w:rsid w:val="7A187C44"/>
    <w:rsid w:val="7A1A51A5"/>
    <w:rsid w:val="7A1B6094"/>
    <w:rsid w:val="7A1B6176"/>
    <w:rsid w:val="7A1C7734"/>
    <w:rsid w:val="7A1D7C26"/>
    <w:rsid w:val="7A1D7C7E"/>
    <w:rsid w:val="7A1E0C56"/>
    <w:rsid w:val="7A280381"/>
    <w:rsid w:val="7A2A00A3"/>
    <w:rsid w:val="7A2A69A0"/>
    <w:rsid w:val="7A2F7467"/>
    <w:rsid w:val="7A3201E5"/>
    <w:rsid w:val="7A333C28"/>
    <w:rsid w:val="7A3370B8"/>
    <w:rsid w:val="7A352926"/>
    <w:rsid w:val="7A364017"/>
    <w:rsid w:val="7A373F8F"/>
    <w:rsid w:val="7A38459E"/>
    <w:rsid w:val="7A38580D"/>
    <w:rsid w:val="7A3948BF"/>
    <w:rsid w:val="7A3A5763"/>
    <w:rsid w:val="7A3A68E6"/>
    <w:rsid w:val="7A3B22B0"/>
    <w:rsid w:val="7A3E10F2"/>
    <w:rsid w:val="7A3E6BF1"/>
    <w:rsid w:val="7A3F357D"/>
    <w:rsid w:val="7A406A40"/>
    <w:rsid w:val="7A41719B"/>
    <w:rsid w:val="7A430267"/>
    <w:rsid w:val="7A4B0019"/>
    <w:rsid w:val="7A50013B"/>
    <w:rsid w:val="7A5421C7"/>
    <w:rsid w:val="7A5620C2"/>
    <w:rsid w:val="7A57529B"/>
    <w:rsid w:val="7A5A028A"/>
    <w:rsid w:val="7A5D64E9"/>
    <w:rsid w:val="7A5F5873"/>
    <w:rsid w:val="7A61492D"/>
    <w:rsid w:val="7A637111"/>
    <w:rsid w:val="7A6510DB"/>
    <w:rsid w:val="7A662385"/>
    <w:rsid w:val="7A683677"/>
    <w:rsid w:val="7A687177"/>
    <w:rsid w:val="7A6B235E"/>
    <w:rsid w:val="7A6D7D85"/>
    <w:rsid w:val="7A6D7F90"/>
    <w:rsid w:val="7A6F1F5A"/>
    <w:rsid w:val="7A771C84"/>
    <w:rsid w:val="7A773114"/>
    <w:rsid w:val="7A776239"/>
    <w:rsid w:val="7A7C3379"/>
    <w:rsid w:val="7A7C6425"/>
    <w:rsid w:val="7A7E3F4B"/>
    <w:rsid w:val="7A807CC3"/>
    <w:rsid w:val="7A811C8D"/>
    <w:rsid w:val="7A8265E1"/>
    <w:rsid w:val="7A8556D5"/>
    <w:rsid w:val="7A8656D5"/>
    <w:rsid w:val="7A885D1F"/>
    <w:rsid w:val="7A8C6F78"/>
    <w:rsid w:val="7A8D2EE8"/>
    <w:rsid w:val="7A8F1D4D"/>
    <w:rsid w:val="7A8F421B"/>
    <w:rsid w:val="7A925C48"/>
    <w:rsid w:val="7A951DE4"/>
    <w:rsid w:val="7A975E75"/>
    <w:rsid w:val="7A982578"/>
    <w:rsid w:val="7A9C6F56"/>
    <w:rsid w:val="7A9E7346"/>
    <w:rsid w:val="7A9F42A7"/>
    <w:rsid w:val="7AA31C03"/>
    <w:rsid w:val="7AA35F86"/>
    <w:rsid w:val="7AA37E55"/>
    <w:rsid w:val="7AA5597C"/>
    <w:rsid w:val="7AA624B2"/>
    <w:rsid w:val="7AAD4830"/>
    <w:rsid w:val="7AAD5C05"/>
    <w:rsid w:val="7AAD7310"/>
    <w:rsid w:val="7AAF380F"/>
    <w:rsid w:val="7AB266F2"/>
    <w:rsid w:val="7AB636E5"/>
    <w:rsid w:val="7AB84639"/>
    <w:rsid w:val="7ABC2F89"/>
    <w:rsid w:val="7ABE07EB"/>
    <w:rsid w:val="7ABF7275"/>
    <w:rsid w:val="7AC2652D"/>
    <w:rsid w:val="7AC774E0"/>
    <w:rsid w:val="7AC8601E"/>
    <w:rsid w:val="7ACC2F08"/>
    <w:rsid w:val="7ACC3CD4"/>
    <w:rsid w:val="7ACD1227"/>
    <w:rsid w:val="7ACF0C4A"/>
    <w:rsid w:val="7ACF29F8"/>
    <w:rsid w:val="7AD109A4"/>
    <w:rsid w:val="7AD149C3"/>
    <w:rsid w:val="7AD65B35"/>
    <w:rsid w:val="7AD718AD"/>
    <w:rsid w:val="7AD90BF4"/>
    <w:rsid w:val="7ADB554B"/>
    <w:rsid w:val="7ADC2277"/>
    <w:rsid w:val="7ADE3273"/>
    <w:rsid w:val="7AE5221C"/>
    <w:rsid w:val="7AE77D42"/>
    <w:rsid w:val="7AE84984"/>
    <w:rsid w:val="7AE8705F"/>
    <w:rsid w:val="7AEC5E7F"/>
    <w:rsid w:val="7AEF7127"/>
    <w:rsid w:val="7AF16D07"/>
    <w:rsid w:val="7AF206A2"/>
    <w:rsid w:val="7AF34D94"/>
    <w:rsid w:val="7AF5362F"/>
    <w:rsid w:val="7AF73C3B"/>
    <w:rsid w:val="7AF84340"/>
    <w:rsid w:val="7AFD57B8"/>
    <w:rsid w:val="7AFD7566"/>
    <w:rsid w:val="7AFF67EE"/>
    <w:rsid w:val="7B017EA9"/>
    <w:rsid w:val="7B0317B0"/>
    <w:rsid w:val="7B05132E"/>
    <w:rsid w:val="7B082250"/>
    <w:rsid w:val="7B0A37CE"/>
    <w:rsid w:val="7B0A3CF0"/>
    <w:rsid w:val="7B0A454D"/>
    <w:rsid w:val="7B0D3738"/>
    <w:rsid w:val="7B0F1047"/>
    <w:rsid w:val="7B120F1B"/>
    <w:rsid w:val="7B12629E"/>
    <w:rsid w:val="7B131AD3"/>
    <w:rsid w:val="7B137599"/>
    <w:rsid w:val="7B150C9B"/>
    <w:rsid w:val="7B166879"/>
    <w:rsid w:val="7B1706C7"/>
    <w:rsid w:val="7B18614D"/>
    <w:rsid w:val="7B1923AB"/>
    <w:rsid w:val="7B1943A2"/>
    <w:rsid w:val="7B1B5B3D"/>
    <w:rsid w:val="7B1D1C9B"/>
    <w:rsid w:val="7B1E128A"/>
    <w:rsid w:val="7B243975"/>
    <w:rsid w:val="7B254CED"/>
    <w:rsid w:val="7B284075"/>
    <w:rsid w:val="7B294867"/>
    <w:rsid w:val="7B297527"/>
    <w:rsid w:val="7B2A3740"/>
    <w:rsid w:val="7B2A39F5"/>
    <w:rsid w:val="7B2B67EC"/>
    <w:rsid w:val="7B2E3D9A"/>
    <w:rsid w:val="7B30793B"/>
    <w:rsid w:val="7B342752"/>
    <w:rsid w:val="7B364826"/>
    <w:rsid w:val="7B3665D4"/>
    <w:rsid w:val="7B38059E"/>
    <w:rsid w:val="7B3916F6"/>
    <w:rsid w:val="7B394240"/>
    <w:rsid w:val="7B3E26B1"/>
    <w:rsid w:val="7B405DA5"/>
    <w:rsid w:val="7B4231CA"/>
    <w:rsid w:val="7B424483"/>
    <w:rsid w:val="7B44146F"/>
    <w:rsid w:val="7B474C85"/>
    <w:rsid w:val="7B4927AB"/>
    <w:rsid w:val="7B4A0AE0"/>
    <w:rsid w:val="7B4B1F32"/>
    <w:rsid w:val="7B4E6013"/>
    <w:rsid w:val="7B4F58E7"/>
    <w:rsid w:val="7B503B39"/>
    <w:rsid w:val="7B561295"/>
    <w:rsid w:val="7B56651E"/>
    <w:rsid w:val="7B5A7A81"/>
    <w:rsid w:val="7B5F3D7C"/>
    <w:rsid w:val="7B630A42"/>
    <w:rsid w:val="7B64029B"/>
    <w:rsid w:val="7B6468EC"/>
    <w:rsid w:val="7B672C31"/>
    <w:rsid w:val="7B686D42"/>
    <w:rsid w:val="7B6A1ED0"/>
    <w:rsid w:val="7B6B0973"/>
    <w:rsid w:val="7B6D1B0B"/>
    <w:rsid w:val="7B6D5A19"/>
    <w:rsid w:val="7B6E2211"/>
    <w:rsid w:val="7B6E3FBF"/>
    <w:rsid w:val="7B70364D"/>
    <w:rsid w:val="7B70619D"/>
    <w:rsid w:val="7B706663"/>
    <w:rsid w:val="7B71191C"/>
    <w:rsid w:val="7B751AD8"/>
    <w:rsid w:val="7B7610C6"/>
    <w:rsid w:val="7B783090"/>
    <w:rsid w:val="7B790FD8"/>
    <w:rsid w:val="7B7A69CF"/>
    <w:rsid w:val="7B7F6AF1"/>
    <w:rsid w:val="7B814FE0"/>
    <w:rsid w:val="7B841746"/>
    <w:rsid w:val="7B86236B"/>
    <w:rsid w:val="7B867733"/>
    <w:rsid w:val="7B8732D3"/>
    <w:rsid w:val="7B8735A1"/>
    <w:rsid w:val="7B875081"/>
    <w:rsid w:val="7B8760B5"/>
    <w:rsid w:val="7B876E2F"/>
    <w:rsid w:val="7B88269A"/>
    <w:rsid w:val="7B8B30CE"/>
    <w:rsid w:val="7B8B4B71"/>
    <w:rsid w:val="7B8D163F"/>
    <w:rsid w:val="7B8F3F36"/>
    <w:rsid w:val="7B8F7EED"/>
    <w:rsid w:val="7B9026CC"/>
    <w:rsid w:val="7B933A26"/>
    <w:rsid w:val="7B937ECA"/>
    <w:rsid w:val="7B944CB6"/>
    <w:rsid w:val="7B9652C4"/>
    <w:rsid w:val="7B9745ED"/>
    <w:rsid w:val="7B9A4305"/>
    <w:rsid w:val="7B9B3C09"/>
    <w:rsid w:val="7B9D0730"/>
    <w:rsid w:val="7B9D4ADB"/>
    <w:rsid w:val="7BA14D5D"/>
    <w:rsid w:val="7BA46E03"/>
    <w:rsid w:val="7BA51335"/>
    <w:rsid w:val="7BAD0F8C"/>
    <w:rsid w:val="7BB3231A"/>
    <w:rsid w:val="7BB53A25"/>
    <w:rsid w:val="7BB57E40"/>
    <w:rsid w:val="7BB72092"/>
    <w:rsid w:val="7BB97490"/>
    <w:rsid w:val="7BBB6212"/>
    <w:rsid w:val="7BBD4F47"/>
    <w:rsid w:val="7BBF17B5"/>
    <w:rsid w:val="7BBF62BC"/>
    <w:rsid w:val="7BC01DC8"/>
    <w:rsid w:val="7BC13DAB"/>
    <w:rsid w:val="7BC26FA0"/>
    <w:rsid w:val="7BC462D5"/>
    <w:rsid w:val="7BC57958"/>
    <w:rsid w:val="7BC8135E"/>
    <w:rsid w:val="7BC83BA6"/>
    <w:rsid w:val="7BC9569A"/>
    <w:rsid w:val="7BCB31C0"/>
    <w:rsid w:val="7BD0380F"/>
    <w:rsid w:val="7BD04F48"/>
    <w:rsid w:val="7BD209F2"/>
    <w:rsid w:val="7BD6334C"/>
    <w:rsid w:val="7BD65C1C"/>
    <w:rsid w:val="7BD81D81"/>
    <w:rsid w:val="7BDA3403"/>
    <w:rsid w:val="7BDE0EB1"/>
    <w:rsid w:val="7BDF0A19"/>
    <w:rsid w:val="7BE10C35"/>
    <w:rsid w:val="7BE63213"/>
    <w:rsid w:val="7BE6748B"/>
    <w:rsid w:val="7BE8043D"/>
    <w:rsid w:val="7BE94342"/>
    <w:rsid w:val="7BE95817"/>
    <w:rsid w:val="7BEA6EBB"/>
    <w:rsid w:val="7BF1512B"/>
    <w:rsid w:val="7BF22E42"/>
    <w:rsid w:val="7BF24BF0"/>
    <w:rsid w:val="7BF30969"/>
    <w:rsid w:val="7BF769F1"/>
    <w:rsid w:val="7BFF4FE2"/>
    <w:rsid w:val="7C0251C7"/>
    <w:rsid w:val="7C030BAC"/>
    <w:rsid w:val="7C06069C"/>
    <w:rsid w:val="7C08483A"/>
    <w:rsid w:val="7C0861C2"/>
    <w:rsid w:val="7C0B180E"/>
    <w:rsid w:val="7C0B35E0"/>
    <w:rsid w:val="7C0E2F0F"/>
    <w:rsid w:val="7C127041"/>
    <w:rsid w:val="7C134B67"/>
    <w:rsid w:val="7C152795"/>
    <w:rsid w:val="7C183F2B"/>
    <w:rsid w:val="7C1A7CA3"/>
    <w:rsid w:val="7C1E59E5"/>
    <w:rsid w:val="7C2428D0"/>
    <w:rsid w:val="7C29438A"/>
    <w:rsid w:val="7C2B620B"/>
    <w:rsid w:val="7C2E67C1"/>
    <w:rsid w:val="7C306240"/>
    <w:rsid w:val="7C342CE5"/>
    <w:rsid w:val="7C361FBD"/>
    <w:rsid w:val="7C366B06"/>
    <w:rsid w:val="7C372603"/>
    <w:rsid w:val="7C3A28BA"/>
    <w:rsid w:val="7C3A75DA"/>
    <w:rsid w:val="7C3B3832"/>
    <w:rsid w:val="7C3B7EF1"/>
    <w:rsid w:val="7C3C5E6C"/>
    <w:rsid w:val="7C3E1BE4"/>
    <w:rsid w:val="7C4111CA"/>
    <w:rsid w:val="7C413482"/>
    <w:rsid w:val="7C4235ED"/>
    <w:rsid w:val="7C460A98"/>
    <w:rsid w:val="7C4674E4"/>
    <w:rsid w:val="7C474D19"/>
    <w:rsid w:val="7C4935CB"/>
    <w:rsid w:val="7C493DA6"/>
    <w:rsid w:val="7C49795C"/>
    <w:rsid w:val="7C4C5469"/>
    <w:rsid w:val="7C4D1A7B"/>
    <w:rsid w:val="7C4D619B"/>
    <w:rsid w:val="7C4D62CB"/>
    <w:rsid w:val="7C51365D"/>
    <w:rsid w:val="7C5A7279"/>
    <w:rsid w:val="7C5B1D71"/>
    <w:rsid w:val="7C5D534C"/>
    <w:rsid w:val="7C5D73FF"/>
    <w:rsid w:val="7C5E1319"/>
    <w:rsid w:val="7C634ECE"/>
    <w:rsid w:val="7C676807"/>
    <w:rsid w:val="7C6C4C8F"/>
    <w:rsid w:val="7C6C5AC7"/>
    <w:rsid w:val="7C6D4DD3"/>
    <w:rsid w:val="7C6F292B"/>
    <w:rsid w:val="7C701FB9"/>
    <w:rsid w:val="7C744D12"/>
    <w:rsid w:val="7C7A7A2C"/>
    <w:rsid w:val="7C7D684C"/>
    <w:rsid w:val="7C7F10AF"/>
    <w:rsid w:val="7C7F3F39"/>
    <w:rsid w:val="7C833A9B"/>
    <w:rsid w:val="7C844961"/>
    <w:rsid w:val="7C865339"/>
    <w:rsid w:val="7C8B6DF3"/>
    <w:rsid w:val="7C8C202C"/>
    <w:rsid w:val="7C8D41F5"/>
    <w:rsid w:val="7C8F25BC"/>
    <w:rsid w:val="7C907FFD"/>
    <w:rsid w:val="7C921F30"/>
    <w:rsid w:val="7C9331EB"/>
    <w:rsid w:val="7C9712F4"/>
    <w:rsid w:val="7C987443"/>
    <w:rsid w:val="7C991510"/>
    <w:rsid w:val="7C9B74EC"/>
    <w:rsid w:val="7C9C2351"/>
    <w:rsid w:val="7C9C4B5C"/>
    <w:rsid w:val="7C9E3D7F"/>
    <w:rsid w:val="7CA12173"/>
    <w:rsid w:val="7CA13F21"/>
    <w:rsid w:val="7CA31CC0"/>
    <w:rsid w:val="7CA37C99"/>
    <w:rsid w:val="7CA81753"/>
    <w:rsid w:val="7CAA54CB"/>
    <w:rsid w:val="7CAB0C46"/>
    <w:rsid w:val="7CAD1758"/>
    <w:rsid w:val="7CAD272B"/>
    <w:rsid w:val="7CB064CC"/>
    <w:rsid w:val="7CB13FFA"/>
    <w:rsid w:val="7CB81A13"/>
    <w:rsid w:val="7CB925E2"/>
    <w:rsid w:val="7CBB67C8"/>
    <w:rsid w:val="7CC12815"/>
    <w:rsid w:val="7CC37A37"/>
    <w:rsid w:val="7CC6544B"/>
    <w:rsid w:val="7CC83BA3"/>
    <w:rsid w:val="7CC84160"/>
    <w:rsid w:val="7CCB794A"/>
    <w:rsid w:val="7CCE5AEE"/>
    <w:rsid w:val="7CD14651"/>
    <w:rsid w:val="7CD2057E"/>
    <w:rsid w:val="7CD25643"/>
    <w:rsid w:val="7CD34AB4"/>
    <w:rsid w:val="7CD36C81"/>
    <w:rsid w:val="7CD821C4"/>
    <w:rsid w:val="7CDB203B"/>
    <w:rsid w:val="7CDC3BB9"/>
    <w:rsid w:val="7CE16A13"/>
    <w:rsid w:val="7CE30334"/>
    <w:rsid w:val="7CE34539"/>
    <w:rsid w:val="7CE66CDA"/>
    <w:rsid w:val="7CE7486E"/>
    <w:rsid w:val="7CE74A74"/>
    <w:rsid w:val="7CEA7CF5"/>
    <w:rsid w:val="7CEB758D"/>
    <w:rsid w:val="7CEC352F"/>
    <w:rsid w:val="7CEF7382"/>
    <w:rsid w:val="7CF04D90"/>
    <w:rsid w:val="7CF05E18"/>
    <w:rsid w:val="7CF3328E"/>
    <w:rsid w:val="7CF51E90"/>
    <w:rsid w:val="7CF84488"/>
    <w:rsid w:val="7CF85D6E"/>
    <w:rsid w:val="7CF9107F"/>
    <w:rsid w:val="7CFA7BF0"/>
    <w:rsid w:val="7CFC55FB"/>
    <w:rsid w:val="7D010485"/>
    <w:rsid w:val="7D01117F"/>
    <w:rsid w:val="7D012C11"/>
    <w:rsid w:val="7D017CBB"/>
    <w:rsid w:val="7D0239FF"/>
    <w:rsid w:val="7D0270B5"/>
    <w:rsid w:val="7D030385"/>
    <w:rsid w:val="7D05005F"/>
    <w:rsid w:val="7D0858B4"/>
    <w:rsid w:val="7D0A7D18"/>
    <w:rsid w:val="7D0B7528"/>
    <w:rsid w:val="7D0F532E"/>
    <w:rsid w:val="7D117B29"/>
    <w:rsid w:val="7D131D11"/>
    <w:rsid w:val="7D146DE8"/>
    <w:rsid w:val="7D154658"/>
    <w:rsid w:val="7D161542"/>
    <w:rsid w:val="7D16490F"/>
    <w:rsid w:val="7D1B12DD"/>
    <w:rsid w:val="7D1F661D"/>
    <w:rsid w:val="7D20753B"/>
    <w:rsid w:val="7D217359"/>
    <w:rsid w:val="7D2230A3"/>
    <w:rsid w:val="7D2476A7"/>
    <w:rsid w:val="7D28649A"/>
    <w:rsid w:val="7D2900B1"/>
    <w:rsid w:val="7D2904F3"/>
    <w:rsid w:val="7D2C0131"/>
    <w:rsid w:val="7D2D3A06"/>
    <w:rsid w:val="7D2E3722"/>
    <w:rsid w:val="7D2E7133"/>
    <w:rsid w:val="7D31225F"/>
    <w:rsid w:val="7D320851"/>
    <w:rsid w:val="7D320E02"/>
    <w:rsid w:val="7D376633"/>
    <w:rsid w:val="7D3903CE"/>
    <w:rsid w:val="7D390B7C"/>
    <w:rsid w:val="7D3B0614"/>
    <w:rsid w:val="7D3B07BA"/>
    <w:rsid w:val="7D3B4375"/>
    <w:rsid w:val="7D3B6123"/>
    <w:rsid w:val="7D3D43E8"/>
    <w:rsid w:val="7D3D4A2E"/>
    <w:rsid w:val="7D4312E1"/>
    <w:rsid w:val="7D4405C4"/>
    <w:rsid w:val="7D46476E"/>
    <w:rsid w:val="7D464AE5"/>
    <w:rsid w:val="7D470F6C"/>
    <w:rsid w:val="7D480840"/>
    <w:rsid w:val="7D484972"/>
    <w:rsid w:val="7D4939A5"/>
    <w:rsid w:val="7D4A280A"/>
    <w:rsid w:val="7D4C3FCC"/>
    <w:rsid w:val="7D4D5355"/>
    <w:rsid w:val="7D4E4E47"/>
    <w:rsid w:val="7D4F18F0"/>
    <w:rsid w:val="7D531EF7"/>
    <w:rsid w:val="7D547D31"/>
    <w:rsid w:val="7D5676D9"/>
    <w:rsid w:val="7D584F27"/>
    <w:rsid w:val="7D586CD5"/>
    <w:rsid w:val="7D594FA3"/>
    <w:rsid w:val="7D5B16B6"/>
    <w:rsid w:val="7D5D3F9A"/>
    <w:rsid w:val="7D5E40CD"/>
    <w:rsid w:val="7D6B50FB"/>
    <w:rsid w:val="7D6B5920"/>
    <w:rsid w:val="7D6E075E"/>
    <w:rsid w:val="7D6F756C"/>
    <w:rsid w:val="7D742193"/>
    <w:rsid w:val="7D7D7656"/>
    <w:rsid w:val="7D821D02"/>
    <w:rsid w:val="7D823D52"/>
    <w:rsid w:val="7D8527E9"/>
    <w:rsid w:val="7D863FE8"/>
    <w:rsid w:val="7D8974EB"/>
    <w:rsid w:val="7D8A2C07"/>
    <w:rsid w:val="7D8A42F2"/>
    <w:rsid w:val="7D8B70AB"/>
    <w:rsid w:val="7D8C19FA"/>
    <w:rsid w:val="7D8C4851"/>
    <w:rsid w:val="7D8D057B"/>
    <w:rsid w:val="7D8E353C"/>
    <w:rsid w:val="7D914065"/>
    <w:rsid w:val="7D951312"/>
    <w:rsid w:val="7D9C11E9"/>
    <w:rsid w:val="7D9D3362"/>
    <w:rsid w:val="7DA261A2"/>
    <w:rsid w:val="7DA90EA2"/>
    <w:rsid w:val="7DAC6BDA"/>
    <w:rsid w:val="7DAD53DB"/>
    <w:rsid w:val="7DB008BF"/>
    <w:rsid w:val="7DB06B11"/>
    <w:rsid w:val="7DB163E5"/>
    <w:rsid w:val="7DB36601"/>
    <w:rsid w:val="7DB639FC"/>
    <w:rsid w:val="7DB8212B"/>
    <w:rsid w:val="7DB85454"/>
    <w:rsid w:val="7DBA1D6E"/>
    <w:rsid w:val="7DBB0638"/>
    <w:rsid w:val="7DBC2663"/>
    <w:rsid w:val="7DBD454E"/>
    <w:rsid w:val="7DBE53FC"/>
    <w:rsid w:val="7DC0487A"/>
    <w:rsid w:val="7DC425BD"/>
    <w:rsid w:val="7DC46119"/>
    <w:rsid w:val="7DC477BC"/>
    <w:rsid w:val="7DC51D35"/>
    <w:rsid w:val="7DC74A2F"/>
    <w:rsid w:val="7DCD331A"/>
    <w:rsid w:val="7DCD56F2"/>
    <w:rsid w:val="7DCE343B"/>
    <w:rsid w:val="7DCE771A"/>
    <w:rsid w:val="7DCF2D33"/>
    <w:rsid w:val="7DD1524E"/>
    <w:rsid w:val="7DD30A52"/>
    <w:rsid w:val="7DD86068"/>
    <w:rsid w:val="7DDA1DE0"/>
    <w:rsid w:val="7DDC0ABF"/>
    <w:rsid w:val="7DDE4AB9"/>
    <w:rsid w:val="7DE03F1F"/>
    <w:rsid w:val="7DE31E2F"/>
    <w:rsid w:val="7DE44A0D"/>
    <w:rsid w:val="7DE5592F"/>
    <w:rsid w:val="7DE811B9"/>
    <w:rsid w:val="7DEA6014"/>
    <w:rsid w:val="7DEE3196"/>
    <w:rsid w:val="7DF132FB"/>
    <w:rsid w:val="7DF2712A"/>
    <w:rsid w:val="7DF34C50"/>
    <w:rsid w:val="7DF6029C"/>
    <w:rsid w:val="7DF804B8"/>
    <w:rsid w:val="7DF9263D"/>
    <w:rsid w:val="7DF9683D"/>
    <w:rsid w:val="7DFA3F83"/>
    <w:rsid w:val="7DFD5ACF"/>
    <w:rsid w:val="7DFE2FAC"/>
    <w:rsid w:val="7E022A67"/>
    <w:rsid w:val="7E024E93"/>
    <w:rsid w:val="7E065B80"/>
    <w:rsid w:val="7E0A7CCF"/>
    <w:rsid w:val="7E0B1F99"/>
    <w:rsid w:val="7E0D5D12"/>
    <w:rsid w:val="7E115D44"/>
    <w:rsid w:val="7E14537A"/>
    <w:rsid w:val="7E147024"/>
    <w:rsid w:val="7E162F13"/>
    <w:rsid w:val="7E186464"/>
    <w:rsid w:val="7E1B1B1E"/>
    <w:rsid w:val="7E1C5C74"/>
    <w:rsid w:val="7E1C5F55"/>
    <w:rsid w:val="7E1D2773"/>
    <w:rsid w:val="7E210DE0"/>
    <w:rsid w:val="7E2155BC"/>
    <w:rsid w:val="7E26259C"/>
    <w:rsid w:val="7E265025"/>
    <w:rsid w:val="7E2763BD"/>
    <w:rsid w:val="7E280125"/>
    <w:rsid w:val="7E290672"/>
    <w:rsid w:val="7E2D63B4"/>
    <w:rsid w:val="7E2E08E2"/>
    <w:rsid w:val="7E2E3EDA"/>
    <w:rsid w:val="7E3047F0"/>
    <w:rsid w:val="7E325778"/>
    <w:rsid w:val="7E374B3D"/>
    <w:rsid w:val="7E39633C"/>
    <w:rsid w:val="7E4051C1"/>
    <w:rsid w:val="7E406ED1"/>
    <w:rsid w:val="7E413C0D"/>
    <w:rsid w:val="7E435834"/>
    <w:rsid w:val="7E437985"/>
    <w:rsid w:val="7E4436FD"/>
    <w:rsid w:val="7E48328D"/>
    <w:rsid w:val="7E4A2C8D"/>
    <w:rsid w:val="7E4A3282"/>
    <w:rsid w:val="7E4E5ABF"/>
    <w:rsid w:val="7E5245C2"/>
    <w:rsid w:val="7E532A2F"/>
    <w:rsid w:val="7E54225E"/>
    <w:rsid w:val="7E575054"/>
    <w:rsid w:val="7E590F57"/>
    <w:rsid w:val="7E5A082B"/>
    <w:rsid w:val="7E5C42E5"/>
    <w:rsid w:val="7E5E4287"/>
    <w:rsid w:val="7E5F01CB"/>
    <w:rsid w:val="7E61605D"/>
    <w:rsid w:val="7E635932"/>
    <w:rsid w:val="7E64398C"/>
    <w:rsid w:val="7E657B06"/>
    <w:rsid w:val="7E657E8A"/>
    <w:rsid w:val="7E660124"/>
    <w:rsid w:val="7E690DB0"/>
    <w:rsid w:val="7E6E42D6"/>
    <w:rsid w:val="7E6E7F29"/>
    <w:rsid w:val="7E711C7C"/>
    <w:rsid w:val="7E737955"/>
    <w:rsid w:val="7E747B3F"/>
    <w:rsid w:val="7E751B92"/>
    <w:rsid w:val="7E777FB7"/>
    <w:rsid w:val="7E791DFD"/>
    <w:rsid w:val="7E7A048F"/>
    <w:rsid w:val="7E7B7DDF"/>
    <w:rsid w:val="7E7E71FD"/>
    <w:rsid w:val="7E7F36D1"/>
    <w:rsid w:val="7E837D82"/>
    <w:rsid w:val="7E891110"/>
    <w:rsid w:val="7E8B290D"/>
    <w:rsid w:val="7E8B30DA"/>
    <w:rsid w:val="7E8D0C00"/>
    <w:rsid w:val="7E8D6486"/>
    <w:rsid w:val="7E91202B"/>
    <w:rsid w:val="7E91572B"/>
    <w:rsid w:val="7E9755DB"/>
    <w:rsid w:val="7E9B249E"/>
    <w:rsid w:val="7E9C15B6"/>
    <w:rsid w:val="7E9C2EF6"/>
    <w:rsid w:val="7E9C7095"/>
    <w:rsid w:val="7E9C7B53"/>
    <w:rsid w:val="7E9E0792"/>
    <w:rsid w:val="7E9E1A5C"/>
    <w:rsid w:val="7E9E4799"/>
    <w:rsid w:val="7EA02473"/>
    <w:rsid w:val="7EA22B04"/>
    <w:rsid w:val="7EA321D2"/>
    <w:rsid w:val="7EA545ED"/>
    <w:rsid w:val="7EA61D66"/>
    <w:rsid w:val="7EA63A70"/>
    <w:rsid w:val="7EA67BA5"/>
    <w:rsid w:val="7EA82D84"/>
    <w:rsid w:val="7EA97EBE"/>
    <w:rsid w:val="7EAA0C48"/>
    <w:rsid w:val="7EAA3668"/>
    <w:rsid w:val="7EAB45D3"/>
    <w:rsid w:val="7EAC7523"/>
    <w:rsid w:val="7EB36AB1"/>
    <w:rsid w:val="7EB80F3D"/>
    <w:rsid w:val="7EB97C47"/>
    <w:rsid w:val="7EBC6F52"/>
    <w:rsid w:val="7EBC7738"/>
    <w:rsid w:val="7EBE4445"/>
    <w:rsid w:val="7EBE700C"/>
    <w:rsid w:val="7EC42148"/>
    <w:rsid w:val="7EC42A6E"/>
    <w:rsid w:val="7EC5039A"/>
    <w:rsid w:val="7EC56EDB"/>
    <w:rsid w:val="7EC806B7"/>
    <w:rsid w:val="7EC81C39"/>
    <w:rsid w:val="7ECA59B1"/>
    <w:rsid w:val="7ECD0A53"/>
    <w:rsid w:val="7ECD51CA"/>
    <w:rsid w:val="7ECF1219"/>
    <w:rsid w:val="7ED14F91"/>
    <w:rsid w:val="7ED44A81"/>
    <w:rsid w:val="7ED44EF6"/>
    <w:rsid w:val="7ED9035F"/>
    <w:rsid w:val="7EDC3936"/>
    <w:rsid w:val="7EDD2E06"/>
    <w:rsid w:val="7EE101E5"/>
    <w:rsid w:val="7EE10F4C"/>
    <w:rsid w:val="7EE12CFA"/>
    <w:rsid w:val="7EE34536"/>
    <w:rsid w:val="7EE46F9B"/>
    <w:rsid w:val="7EE61621"/>
    <w:rsid w:val="7EE727D5"/>
    <w:rsid w:val="7EE94D09"/>
    <w:rsid w:val="7EEB3FF6"/>
    <w:rsid w:val="7EED5B43"/>
    <w:rsid w:val="7EED78F1"/>
    <w:rsid w:val="7EEF3669"/>
    <w:rsid w:val="7EF55F93"/>
    <w:rsid w:val="7EF962A5"/>
    <w:rsid w:val="7EFD6B17"/>
    <w:rsid w:val="7EFE6657"/>
    <w:rsid w:val="7EFF21FF"/>
    <w:rsid w:val="7F001CE7"/>
    <w:rsid w:val="7F00735D"/>
    <w:rsid w:val="7F0218CB"/>
    <w:rsid w:val="7F054C3B"/>
    <w:rsid w:val="7F072542"/>
    <w:rsid w:val="7F07729C"/>
    <w:rsid w:val="7F09387F"/>
    <w:rsid w:val="7F0D3769"/>
    <w:rsid w:val="7F0E06B3"/>
    <w:rsid w:val="7F0E1C8A"/>
    <w:rsid w:val="7F111831"/>
    <w:rsid w:val="7F12008C"/>
    <w:rsid w:val="7F133581"/>
    <w:rsid w:val="7F141322"/>
    <w:rsid w:val="7F155D13"/>
    <w:rsid w:val="7F166E48"/>
    <w:rsid w:val="7F170F5B"/>
    <w:rsid w:val="7F1906E6"/>
    <w:rsid w:val="7F1A0987"/>
    <w:rsid w:val="7F1A6186"/>
    <w:rsid w:val="7F1C3F56"/>
    <w:rsid w:val="7F1D01D6"/>
    <w:rsid w:val="7F1F187C"/>
    <w:rsid w:val="7F21504B"/>
    <w:rsid w:val="7F2A46A1"/>
    <w:rsid w:val="7F2A4DA0"/>
    <w:rsid w:val="7F2A644F"/>
    <w:rsid w:val="7F2C21C7"/>
    <w:rsid w:val="7F2D0D7C"/>
    <w:rsid w:val="7F2D32BF"/>
    <w:rsid w:val="7F2E489E"/>
    <w:rsid w:val="7F3320BE"/>
    <w:rsid w:val="7F34107C"/>
    <w:rsid w:val="7F363046"/>
    <w:rsid w:val="7F3D1415"/>
    <w:rsid w:val="7F3E1EFB"/>
    <w:rsid w:val="7F3F091D"/>
    <w:rsid w:val="7F473095"/>
    <w:rsid w:val="7F47357B"/>
    <w:rsid w:val="7F485BC8"/>
    <w:rsid w:val="7F4A22A7"/>
    <w:rsid w:val="7F4D4C15"/>
    <w:rsid w:val="7F4F5B85"/>
    <w:rsid w:val="7F4F6FB3"/>
    <w:rsid w:val="7F51408F"/>
    <w:rsid w:val="7F58120E"/>
    <w:rsid w:val="7F621E96"/>
    <w:rsid w:val="7F62208D"/>
    <w:rsid w:val="7F637BB3"/>
    <w:rsid w:val="7F651B7D"/>
    <w:rsid w:val="7F657A81"/>
    <w:rsid w:val="7F662A23"/>
    <w:rsid w:val="7F6A1B5D"/>
    <w:rsid w:val="7F6B4C36"/>
    <w:rsid w:val="7F6C6798"/>
    <w:rsid w:val="7F6C6A68"/>
    <w:rsid w:val="7F6D11C3"/>
    <w:rsid w:val="7F7122D0"/>
    <w:rsid w:val="7F72303A"/>
    <w:rsid w:val="7F73429A"/>
    <w:rsid w:val="7F741DC0"/>
    <w:rsid w:val="7F7556BB"/>
    <w:rsid w:val="7F762776"/>
    <w:rsid w:val="7F765B38"/>
    <w:rsid w:val="7F775004"/>
    <w:rsid w:val="7F7917BB"/>
    <w:rsid w:val="7F796B98"/>
    <w:rsid w:val="7F7C6697"/>
    <w:rsid w:val="7F7D5A1C"/>
    <w:rsid w:val="7F7E074A"/>
    <w:rsid w:val="7F7F2D0F"/>
    <w:rsid w:val="7F812290"/>
    <w:rsid w:val="7F823093"/>
    <w:rsid w:val="7F8B60AB"/>
    <w:rsid w:val="7F8D0211"/>
    <w:rsid w:val="7F8F7C89"/>
    <w:rsid w:val="7F912972"/>
    <w:rsid w:val="7F923FF5"/>
    <w:rsid w:val="7F930EC1"/>
    <w:rsid w:val="7F947D6D"/>
    <w:rsid w:val="7F972EC4"/>
    <w:rsid w:val="7F977563"/>
    <w:rsid w:val="7F977DCF"/>
    <w:rsid w:val="7F9C0C84"/>
    <w:rsid w:val="7F9C0CFD"/>
    <w:rsid w:val="7F9C1308"/>
    <w:rsid w:val="7FA02844"/>
    <w:rsid w:val="7FA02FC4"/>
    <w:rsid w:val="7FA03389"/>
    <w:rsid w:val="7FA11CB0"/>
    <w:rsid w:val="7FA22DA3"/>
    <w:rsid w:val="7FA26DF8"/>
    <w:rsid w:val="7FA501CC"/>
    <w:rsid w:val="7FA75CF2"/>
    <w:rsid w:val="7FA97F64"/>
    <w:rsid w:val="7FAA00CF"/>
    <w:rsid w:val="7FAC55A3"/>
    <w:rsid w:val="7FAD1D73"/>
    <w:rsid w:val="7FAD472B"/>
    <w:rsid w:val="7FAE52D2"/>
    <w:rsid w:val="7FAF2DF8"/>
    <w:rsid w:val="7FAF49AA"/>
    <w:rsid w:val="7FB34697"/>
    <w:rsid w:val="7FB4079F"/>
    <w:rsid w:val="7FB5458E"/>
    <w:rsid w:val="7FB6453C"/>
    <w:rsid w:val="7FB82116"/>
    <w:rsid w:val="7FBD44DD"/>
    <w:rsid w:val="7FBF128D"/>
    <w:rsid w:val="7FC76394"/>
    <w:rsid w:val="7FCA6E59"/>
    <w:rsid w:val="7FD071D4"/>
    <w:rsid w:val="7FD229EF"/>
    <w:rsid w:val="7FD26D3A"/>
    <w:rsid w:val="7FD76DD0"/>
    <w:rsid w:val="7FD92575"/>
    <w:rsid w:val="7FD9458D"/>
    <w:rsid w:val="7FD95685"/>
    <w:rsid w:val="7FDD1714"/>
    <w:rsid w:val="7FDD462C"/>
    <w:rsid w:val="7FDF106F"/>
    <w:rsid w:val="7FDF186F"/>
    <w:rsid w:val="7FE00BCB"/>
    <w:rsid w:val="7FE44850"/>
    <w:rsid w:val="7FE47E50"/>
    <w:rsid w:val="7FEA36D2"/>
    <w:rsid w:val="7FEA3EF1"/>
    <w:rsid w:val="7FEC1957"/>
    <w:rsid w:val="7FED0292"/>
    <w:rsid w:val="7FEE3682"/>
    <w:rsid w:val="7FEE66E0"/>
    <w:rsid w:val="7FF133CD"/>
    <w:rsid w:val="7FF34E34"/>
    <w:rsid w:val="7FF802FC"/>
    <w:rsid w:val="7FF95569"/>
    <w:rsid w:val="7FFB7DEC"/>
    <w:rsid w:val="7FFC259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 w:semiHidden="0" w:name="heading 3" w:locked="1"/>
    <w:lsdException w:qFormat="1" w:uiPriority="9" w:semiHidden="0" w:name="heading 4" w:locked="1"/>
    <w:lsdException w:qFormat="1" w:uiPriority="0" w:name="heading 5" w:locked="1"/>
    <w:lsdException w:qFormat="1" w:unhideWhenUsed="0" w:uiPriority="1"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99"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99"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qFormat/>
    <w:locked/>
    <w:uiPriority w:val="9"/>
    <w:pPr>
      <w:ind w:firstLine="482"/>
      <w:outlineLvl w:val="2"/>
    </w:pPr>
    <w:rPr>
      <w:b/>
      <w:bCs/>
    </w:rPr>
  </w:style>
  <w:style w:type="paragraph" w:styleId="6">
    <w:name w:val="heading 4"/>
    <w:basedOn w:val="1"/>
    <w:next w:val="1"/>
    <w:unhideWhenUsed/>
    <w:qFormat/>
    <w:locked/>
    <w:uiPriority w:val="9"/>
    <w:pPr>
      <w:keepNext/>
      <w:spacing w:before="240" w:after="60"/>
      <w:outlineLvl w:val="3"/>
    </w:pPr>
    <w:rPr>
      <w:b/>
      <w:bCs/>
      <w:sz w:val="28"/>
      <w:szCs w:val="28"/>
    </w:rPr>
  </w:style>
  <w:style w:type="paragraph" w:styleId="7">
    <w:name w:val="heading 6"/>
    <w:basedOn w:val="1"/>
    <w:next w:val="1"/>
    <w:qFormat/>
    <w:locked/>
    <w:uiPriority w:val="1"/>
    <w:pPr>
      <w:spacing w:before="66"/>
      <w:ind w:left="321"/>
      <w:outlineLvl w:val="5"/>
    </w:pPr>
    <w:rPr>
      <w:rFonts w:ascii="宋体" w:hAnsi="宋体" w:eastAsia="宋体" w:cs="宋体"/>
      <w:b/>
      <w:bCs/>
      <w:sz w:val="24"/>
      <w:szCs w:val="24"/>
      <w:lang w:val="zh-CN" w:eastAsia="zh-CN" w:bidi="zh-CN"/>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locked/>
    <w:uiPriority w:val="0"/>
    <w:pPr>
      <w:spacing w:after="120" w:line="480" w:lineRule="auto"/>
      <w:ind w:left="420" w:leftChars="200"/>
    </w:pPr>
  </w:style>
  <w:style w:type="paragraph" w:customStyle="1" w:styleId="3">
    <w:name w:val="正文4"/>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styleId="8">
    <w:name w:val="Note Heading"/>
    <w:basedOn w:val="1"/>
    <w:next w:val="1"/>
    <w:qFormat/>
    <w:locked/>
    <w:uiPriority w:val="0"/>
    <w:pPr>
      <w:jc w:val="center"/>
    </w:pPr>
    <w:rPr>
      <w:rFonts w:hint="eastAsia" w:ascii="宋体"/>
      <w:sz w:val="24"/>
    </w:rPr>
  </w:style>
  <w:style w:type="paragraph" w:styleId="9">
    <w:name w:val="Normal Indent"/>
    <w:basedOn w:val="1"/>
    <w:next w:val="10"/>
    <w:qFormat/>
    <w:locked/>
    <w:uiPriority w:val="0"/>
    <w:pPr>
      <w:adjustRightInd w:val="0"/>
      <w:spacing w:line="360" w:lineRule="atLeast"/>
      <w:ind w:firstLine="420"/>
      <w:jc w:val="left"/>
      <w:textAlignment w:val="baseline"/>
    </w:pPr>
    <w:rPr>
      <w:kern w:val="0"/>
      <w:sz w:val="24"/>
      <w:szCs w:val="20"/>
    </w:rPr>
  </w:style>
  <w:style w:type="paragraph" w:customStyle="1" w:styleId="10">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paragraph" w:styleId="11">
    <w:name w:val="Body Text"/>
    <w:basedOn w:val="1"/>
    <w:next w:val="12"/>
    <w:link w:val="44"/>
    <w:qFormat/>
    <w:uiPriority w:val="0"/>
    <w:pPr>
      <w:widowControl/>
      <w:snapToGrid w:val="0"/>
      <w:spacing w:before="60" w:after="160" w:line="259" w:lineRule="auto"/>
      <w:ind w:right="113"/>
    </w:pPr>
    <w:rPr>
      <w:kern w:val="0"/>
      <w:sz w:val="18"/>
      <w:szCs w:val="20"/>
    </w:rPr>
  </w:style>
  <w:style w:type="paragraph" w:styleId="12">
    <w:name w:val="List Bullet 5"/>
    <w:basedOn w:val="1"/>
    <w:qFormat/>
    <w:locked/>
    <w:uiPriority w:val="0"/>
    <w:pPr>
      <w:numPr>
        <w:ilvl w:val="0"/>
        <w:numId w:val="1"/>
      </w:numPr>
    </w:pPr>
  </w:style>
  <w:style w:type="paragraph" w:styleId="13">
    <w:name w:val="caption"/>
    <w:basedOn w:val="1"/>
    <w:next w:val="14"/>
    <w:qFormat/>
    <w:locked/>
    <w:uiPriority w:val="35"/>
    <w:pPr>
      <w:keepNext/>
      <w:tabs>
        <w:tab w:val="left" w:pos="2988"/>
        <w:tab w:val="center" w:pos="4153"/>
        <w:tab w:val="left" w:pos="5415"/>
      </w:tabs>
      <w:adjustRightInd w:val="0"/>
      <w:snapToGrid w:val="0"/>
      <w:spacing w:line="240" w:lineRule="atLeast"/>
      <w:ind w:firstLine="0" w:firstLineChars="0"/>
      <w:jc w:val="center"/>
      <w:textAlignment w:val="baseline"/>
    </w:pPr>
    <w:rPr>
      <w:rFonts w:cs="Times New Roman"/>
      <w:b/>
      <w:kern w:val="24"/>
      <w:sz w:val="21"/>
      <w:szCs w:val="24"/>
    </w:rPr>
  </w:style>
  <w:style w:type="paragraph" w:customStyle="1" w:styleId="14">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styleId="15">
    <w:name w:val="toa heading"/>
    <w:basedOn w:val="1"/>
    <w:next w:val="1"/>
    <w:qFormat/>
    <w:locked/>
    <w:uiPriority w:val="99"/>
    <w:pPr>
      <w:spacing w:before="120"/>
    </w:pPr>
    <w:rPr>
      <w:rFonts w:ascii="Arial" w:hAnsi="Arial" w:cs="Arial"/>
    </w:rPr>
  </w:style>
  <w:style w:type="paragraph" w:styleId="16">
    <w:name w:val="annotation text"/>
    <w:basedOn w:val="1"/>
    <w:link w:val="45"/>
    <w:semiHidden/>
    <w:qFormat/>
    <w:uiPriority w:val="0"/>
    <w:pPr>
      <w:jc w:val="left"/>
    </w:pPr>
    <w:rPr>
      <w:kern w:val="0"/>
      <w:sz w:val="24"/>
      <w:szCs w:val="20"/>
    </w:rPr>
  </w:style>
  <w:style w:type="paragraph" w:styleId="17">
    <w:name w:val="Body Text Indent"/>
    <w:basedOn w:val="1"/>
    <w:link w:val="46"/>
    <w:qFormat/>
    <w:uiPriority w:val="0"/>
    <w:pPr>
      <w:spacing w:after="120"/>
      <w:ind w:left="420" w:leftChars="200"/>
    </w:pPr>
    <w:rPr>
      <w:kern w:val="0"/>
      <w:sz w:val="24"/>
      <w:szCs w:val="20"/>
    </w:rPr>
  </w:style>
  <w:style w:type="paragraph" w:styleId="18">
    <w:name w:val="Plain Text"/>
    <w:basedOn w:val="1"/>
    <w:qFormat/>
    <w:locked/>
    <w:uiPriority w:val="0"/>
    <w:pPr>
      <w:widowControl w:val="0"/>
      <w:spacing w:line="240" w:lineRule="auto"/>
      <w:textAlignment w:val="auto"/>
    </w:pPr>
    <w:rPr>
      <w:rFonts w:ascii="宋体" w:hAnsi="Courier New"/>
      <w:kern w:val="2"/>
    </w:rPr>
  </w:style>
  <w:style w:type="paragraph" w:styleId="19">
    <w:name w:val="Date"/>
    <w:basedOn w:val="1"/>
    <w:next w:val="1"/>
    <w:link w:val="47"/>
    <w:qFormat/>
    <w:uiPriority w:val="0"/>
    <w:pPr>
      <w:ind w:left="100" w:leftChars="2500"/>
    </w:pPr>
    <w:rPr>
      <w:kern w:val="0"/>
      <w:sz w:val="24"/>
      <w:szCs w:val="20"/>
    </w:rPr>
  </w:style>
  <w:style w:type="paragraph" w:styleId="20">
    <w:name w:val="Balloon Text"/>
    <w:basedOn w:val="1"/>
    <w:link w:val="48"/>
    <w:semiHidden/>
    <w:qFormat/>
    <w:uiPriority w:val="0"/>
    <w:rPr>
      <w:kern w:val="0"/>
      <w:sz w:val="18"/>
      <w:szCs w:val="20"/>
    </w:rPr>
  </w:style>
  <w:style w:type="paragraph" w:styleId="21">
    <w:name w:val="footer"/>
    <w:basedOn w:val="1"/>
    <w:link w:val="49"/>
    <w:qFormat/>
    <w:uiPriority w:val="99"/>
    <w:pPr>
      <w:tabs>
        <w:tab w:val="center" w:pos="4153"/>
        <w:tab w:val="right" w:pos="8306"/>
      </w:tabs>
      <w:snapToGrid w:val="0"/>
      <w:jc w:val="left"/>
    </w:pPr>
    <w:rPr>
      <w:kern w:val="0"/>
      <w:sz w:val="18"/>
      <w:szCs w:val="20"/>
    </w:rPr>
  </w:style>
  <w:style w:type="paragraph" w:styleId="22">
    <w:name w:val="header"/>
    <w:basedOn w:val="1"/>
    <w:next w:val="23"/>
    <w:link w:val="5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3">
    <w:name w:val="样式5"/>
    <w:basedOn w:val="24"/>
    <w:qFormat/>
    <w:uiPriority w:val="0"/>
    <w:pPr>
      <w:widowControl/>
      <w:spacing w:line="480" w:lineRule="atLeast"/>
      <w:ind w:firstLine="454"/>
    </w:pPr>
    <w:rPr>
      <w:kern w:val="0"/>
      <w:sz w:val="24"/>
    </w:rPr>
  </w:style>
  <w:style w:type="paragraph" w:customStyle="1" w:styleId="24">
    <w:name w:val="样式3"/>
    <w:basedOn w:val="25"/>
    <w:qFormat/>
    <w:uiPriority w:val="0"/>
    <w:pPr>
      <w:jc w:val="center"/>
    </w:pPr>
    <w:rPr>
      <w:rFonts w:hAnsi="黑体" w:eastAsia="黑体"/>
      <w:color w:val="000000"/>
    </w:rPr>
  </w:style>
  <w:style w:type="paragraph" w:customStyle="1" w:styleId="25">
    <w:name w:val="正文缩进1"/>
    <w:basedOn w:val="1"/>
    <w:qFormat/>
    <w:uiPriority w:val="0"/>
    <w:pPr>
      <w:adjustRightInd w:val="0"/>
      <w:spacing w:line="312" w:lineRule="atLeast"/>
      <w:ind w:firstLine="420"/>
      <w:textAlignment w:val="baseline"/>
    </w:pPr>
  </w:style>
  <w:style w:type="paragraph" w:styleId="26">
    <w:name w:val="toc 1"/>
    <w:basedOn w:val="1"/>
    <w:next w:val="1"/>
    <w:qFormat/>
    <w:locked/>
    <w:uiPriority w:val="39"/>
    <w:pPr>
      <w:ind w:firstLine="200" w:firstLineChars="200"/>
    </w:pPr>
    <w:rPr>
      <w:szCs w:val="22"/>
    </w:rPr>
  </w:style>
  <w:style w:type="paragraph" w:styleId="27">
    <w:name w:val="Body Text Indent 3"/>
    <w:basedOn w:val="1"/>
    <w:qFormat/>
    <w:locked/>
    <w:uiPriority w:val="99"/>
    <w:pPr>
      <w:adjustRightInd w:val="0"/>
      <w:spacing w:line="360" w:lineRule="auto"/>
      <w:ind w:firstLine="426"/>
      <w:jc w:val="left"/>
      <w:textAlignment w:val="baseline"/>
    </w:pPr>
    <w:rPr>
      <w:rFonts w:ascii="仿宋_GB2312" w:eastAsia="仿宋_GB2312"/>
      <w:kern w:val="0"/>
    </w:rPr>
  </w:style>
  <w:style w:type="paragraph" w:styleId="28">
    <w:name w:val="table of figures"/>
    <w:basedOn w:val="1"/>
    <w:next w:val="1"/>
    <w:qFormat/>
    <w:locked/>
    <w:uiPriority w:val="0"/>
    <w:pPr>
      <w:spacing w:line="500" w:lineRule="atLeast"/>
      <w:jc w:val="center"/>
    </w:pPr>
    <w:rPr>
      <w:rFonts w:hint="eastAsia" w:ascii="仿宋_GB2312" w:eastAsia="仿宋_GB2312"/>
      <w:sz w:val="28"/>
    </w:rPr>
  </w:style>
  <w:style w:type="paragraph" w:styleId="29">
    <w:name w:val="toc 2"/>
    <w:basedOn w:val="1"/>
    <w:next w:val="1"/>
    <w:unhideWhenUsed/>
    <w:qFormat/>
    <w:locked/>
    <w:uiPriority w:val="39"/>
    <w:pPr>
      <w:ind w:left="420" w:leftChars="200"/>
    </w:pPr>
  </w:style>
  <w:style w:type="paragraph" w:styleId="30">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widowControl w:val="0"/>
      <w:tabs>
        <w:tab w:val="left" w:pos="1000"/>
      </w:tabs>
      <w:spacing w:before="10" w:after="10" w:line="400" w:lineRule="atLeast"/>
      <w:jc w:val="center"/>
      <w:outlineLvl w:val="0"/>
    </w:pPr>
    <w:rPr>
      <w:rFonts w:ascii="Arial" w:hAnsi="Arial" w:eastAsia="黑体" w:cs="Arial"/>
      <w:b/>
      <w:bCs/>
      <w:kern w:val="2"/>
      <w:sz w:val="44"/>
      <w:szCs w:val="44"/>
      <w:lang w:val="en-US" w:eastAsia="zh-CN" w:bidi="ar-SA"/>
    </w:rPr>
  </w:style>
  <w:style w:type="paragraph" w:styleId="32">
    <w:name w:val="annotation subject"/>
    <w:basedOn w:val="16"/>
    <w:next w:val="16"/>
    <w:link w:val="52"/>
    <w:semiHidden/>
    <w:qFormat/>
    <w:uiPriority w:val="0"/>
    <w:rPr>
      <w:b/>
      <w:sz w:val="24"/>
      <w:szCs w:val="20"/>
    </w:rPr>
  </w:style>
  <w:style w:type="paragraph" w:styleId="33">
    <w:name w:val="Body Text First Indent"/>
    <w:basedOn w:val="11"/>
    <w:next w:val="1"/>
    <w:qFormat/>
    <w:locked/>
    <w:uiPriority w:val="0"/>
    <w:pPr>
      <w:spacing w:after="120"/>
      <w:ind w:firstLine="420" w:firstLineChars="100"/>
    </w:pPr>
    <w:rPr>
      <w:sz w:val="21"/>
      <w:szCs w:val="24"/>
    </w:rPr>
  </w:style>
  <w:style w:type="paragraph" w:styleId="34">
    <w:name w:val="Body Text First Indent 2"/>
    <w:basedOn w:val="17"/>
    <w:qFormat/>
    <w:locked/>
    <w:uiPriority w:val="99"/>
    <w:pPr>
      <w:ind w:firstLine="420" w:firstLineChars="200"/>
    </w:p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locked/>
    <w:uiPriority w:val="0"/>
  </w:style>
  <w:style w:type="character" w:styleId="39">
    <w:name w:val="annotation reference"/>
    <w:semiHidden/>
    <w:qFormat/>
    <w:uiPriority w:val="0"/>
    <w:rPr>
      <w:sz w:val="21"/>
    </w:rPr>
  </w:style>
  <w:style w:type="paragraph" w:customStyle="1" w:styleId="40">
    <w:name w:val="Body Text First Indent 21"/>
    <w:basedOn w:val="41"/>
    <w:next w:val="42"/>
    <w:qFormat/>
    <w:uiPriority w:val="0"/>
    <w:pPr>
      <w:jc w:val="left"/>
    </w:pPr>
    <w:rPr>
      <w:szCs w:val="24"/>
    </w:rPr>
  </w:style>
  <w:style w:type="paragraph" w:customStyle="1" w:styleId="41">
    <w:name w:val="Body Text Indent1"/>
    <w:basedOn w:val="1"/>
    <w:qFormat/>
    <w:uiPriority w:val="0"/>
    <w:pPr>
      <w:spacing w:line="360" w:lineRule="auto"/>
      <w:ind w:firstLine="480" w:firstLineChars="200"/>
    </w:pPr>
    <w:rPr>
      <w:bCs/>
      <w:sz w:val="24"/>
      <w:szCs w:val="20"/>
    </w:rPr>
  </w:style>
  <w:style w:type="paragraph" w:customStyle="1" w:styleId="42">
    <w:name w:val="+正文"/>
    <w:basedOn w:val="1"/>
    <w:qFormat/>
    <w:uiPriority w:val="0"/>
    <w:pPr>
      <w:spacing w:line="360" w:lineRule="auto"/>
      <w:ind w:firstLine="200" w:firstLineChars="200"/>
    </w:pPr>
    <w:rPr>
      <w:sz w:val="24"/>
      <w:szCs w:val="28"/>
    </w:rPr>
  </w:style>
  <w:style w:type="paragraph" w:customStyle="1" w:styleId="43">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44">
    <w:name w:val="正文文本 Char"/>
    <w:link w:val="11"/>
    <w:qFormat/>
    <w:locked/>
    <w:uiPriority w:val="0"/>
    <w:rPr>
      <w:sz w:val="18"/>
    </w:rPr>
  </w:style>
  <w:style w:type="character" w:customStyle="1" w:styleId="45">
    <w:name w:val="批注文字 Char"/>
    <w:link w:val="16"/>
    <w:qFormat/>
    <w:locked/>
    <w:uiPriority w:val="0"/>
    <w:rPr>
      <w:rFonts w:ascii="Times New Roman" w:hAnsi="Times New Roman" w:eastAsia="宋体"/>
      <w:sz w:val="24"/>
    </w:rPr>
  </w:style>
  <w:style w:type="character" w:customStyle="1" w:styleId="46">
    <w:name w:val="正文文本缩进 Char"/>
    <w:link w:val="17"/>
    <w:semiHidden/>
    <w:qFormat/>
    <w:locked/>
    <w:uiPriority w:val="0"/>
    <w:rPr>
      <w:rFonts w:ascii="Times New Roman" w:hAnsi="Times New Roman" w:eastAsia="宋体"/>
      <w:sz w:val="24"/>
    </w:rPr>
  </w:style>
  <w:style w:type="character" w:customStyle="1" w:styleId="47">
    <w:name w:val="日期 Char"/>
    <w:link w:val="19"/>
    <w:qFormat/>
    <w:locked/>
    <w:uiPriority w:val="0"/>
    <w:rPr>
      <w:rFonts w:ascii="Times New Roman" w:hAnsi="Times New Roman" w:eastAsia="宋体"/>
      <w:sz w:val="24"/>
    </w:rPr>
  </w:style>
  <w:style w:type="character" w:customStyle="1" w:styleId="48">
    <w:name w:val="批注框文本 Char"/>
    <w:link w:val="20"/>
    <w:semiHidden/>
    <w:qFormat/>
    <w:locked/>
    <w:uiPriority w:val="0"/>
    <w:rPr>
      <w:rFonts w:ascii="Times New Roman" w:hAnsi="Times New Roman" w:eastAsia="宋体"/>
      <w:sz w:val="18"/>
    </w:rPr>
  </w:style>
  <w:style w:type="character" w:customStyle="1" w:styleId="49">
    <w:name w:val="页脚 Char"/>
    <w:link w:val="21"/>
    <w:qFormat/>
    <w:locked/>
    <w:uiPriority w:val="99"/>
    <w:rPr>
      <w:sz w:val="18"/>
    </w:rPr>
  </w:style>
  <w:style w:type="character" w:customStyle="1" w:styleId="50">
    <w:name w:val="页眉 Char"/>
    <w:link w:val="22"/>
    <w:qFormat/>
    <w:locked/>
    <w:uiPriority w:val="0"/>
    <w:rPr>
      <w:sz w:val="18"/>
    </w:rPr>
  </w:style>
  <w:style w:type="character" w:customStyle="1" w:styleId="51">
    <w:name w:val="普通(网站) Char"/>
    <w:link w:val="30"/>
    <w:qFormat/>
    <w:locked/>
    <w:uiPriority w:val="0"/>
    <w:rPr>
      <w:rFonts w:ascii="宋体" w:hAnsi="宋体" w:eastAsia="宋体"/>
      <w:sz w:val="24"/>
    </w:rPr>
  </w:style>
  <w:style w:type="character" w:customStyle="1" w:styleId="52">
    <w:name w:val="批注主题 Char"/>
    <w:link w:val="32"/>
    <w:semiHidden/>
    <w:qFormat/>
    <w:locked/>
    <w:uiPriority w:val="0"/>
    <w:rPr>
      <w:rFonts w:ascii="Times New Roman" w:hAnsi="Times New Roman" w:eastAsia="宋体"/>
      <w:b/>
      <w:kern w:val="2"/>
      <w:sz w:val="24"/>
    </w:rPr>
  </w:style>
  <w:style w:type="paragraph" w:customStyle="1" w:styleId="53">
    <w:name w:val="列出段落1"/>
    <w:basedOn w:val="1"/>
    <w:qFormat/>
    <w:uiPriority w:val="99"/>
    <w:pPr>
      <w:widowControl/>
      <w:ind w:firstLine="420" w:firstLineChars="200"/>
    </w:pPr>
    <w:rPr>
      <w:rFonts w:ascii="Calibri" w:hAnsi="Calibri"/>
      <w:szCs w:val="20"/>
    </w:rPr>
  </w:style>
  <w:style w:type="paragraph" w:customStyle="1" w:styleId="54">
    <w:name w:val="表格标题新"/>
    <w:basedOn w:val="1"/>
    <w:next w:val="1"/>
    <w:qFormat/>
    <w:uiPriority w:val="0"/>
    <w:pPr>
      <w:tabs>
        <w:tab w:val="left" w:pos="0"/>
      </w:tabs>
      <w:spacing w:before="120" w:line="240" w:lineRule="auto"/>
      <w:ind w:firstLine="0" w:firstLineChars="0"/>
      <w:jc w:val="center"/>
    </w:pPr>
    <w:rPr>
      <w:rFonts w:ascii="黑体" w:eastAsia="黑体"/>
      <w:snapToGrid w:val="0"/>
      <w:spacing w:val="4"/>
      <w:kern w:val="0"/>
    </w:rPr>
  </w:style>
  <w:style w:type="paragraph" w:customStyle="1" w:styleId="55">
    <w:name w:val="Normal (Web)1"/>
    <w:basedOn w:val="1"/>
    <w:next w:val="56"/>
    <w:qFormat/>
    <w:uiPriority w:val="0"/>
    <w:pPr>
      <w:widowControl/>
      <w:jc w:val="left"/>
    </w:pPr>
    <w:rPr>
      <w:rFonts w:ascii="宋体" w:cs="Times New Roman"/>
      <w:kern w:val="0"/>
      <w:sz w:val="24"/>
      <w:szCs w:val="21"/>
    </w:rPr>
  </w:style>
  <w:style w:type="paragraph" w:customStyle="1" w:styleId="56">
    <w:name w:val="Date1"/>
    <w:basedOn w:val="1"/>
    <w:next w:val="1"/>
    <w:qFormat/>
    <w:uiPriority w:val="0"/>
    <w:pPr>
      <w:ind w:left="2500" w:leftChars="2500"/>
    </w:pPr>
  </w:style>
  <w:style w:type="paragraph" w:customStyle="1" w:styleId="57">
    <w:name w:val="正文1"/>
    <w:basedOn w:val="1"/>
    <w:qFormat/>
    <w:uiPriority w:val="99"/>
    <w:pPr>
      <w:adjustRightInd w:val="0"/>
      <w:snapToGrid w:val="0"/>
      <w:spacing w:line="480" w:lineRule="exact"/>
      <w:ind w:firstLine="200" w:firstLineChars="200"/>
    </w:pPr>
    <w:rPr>
      <w:rFonts w:ascii="Calibri" w:hAnsi="Calibri"/>
      <w:kern w:val="0"/>
      <w:sz w:val="24"/>
    </w:rPr>
  </w:style>
  <w:style w:type="paragraph" w:customStyle="1" w:styleId="58">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59">
    <w:name w:val="日期 字符"/>
    <w:semiHidden/>
    <w:qFormat/>
    <w:uiPriority w:val="0"/>
    <w:rPr>
      <w:rFonts w:ascii="Times New Roman" w:hAnsi="Times New Roman" w:eastAsia="宋体"/>
      <w:sz w:val="24"/>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页脚 字符"/>
    <w:basedOn w:val="37"/>
    <w:qFormat/>
    <w:uiPriority w:val="99"/>
  </w:style>
  <w:style w:type="character" w:customStyle="1" w:styleId="63">
    <w:name w:val="表格 Char"/>
    <w:link w:val="64"/>
    <w:qFormat/>
    <w:locked/>
    <w:uiPriority w:val="0"/>
    <w:rPr>
      <w:rFonts w:ascii="宋体"/>
      <w:sz w:val="21"/>
    </w:rPr>
  </w:style>
  <w:style w:type="paragraph" w:customStyle="1" w:styleId="64">
    <w:name w:val="表格"/>
    <w:basedOn w:val="1"/>
    <w:link w:val="63"/>
    <w:qFormat/>
    <w:uiPriority w:val="0"/>
    <w:pPr>
      <w:adjustRightInd w:val="0"/>
      <w:snapToGrid w:val="0"/>
      <w:spacing w:beforeLines="10" w:afterLines="10" w:line="259" w:lineRule="auto"/>
      <w:jc w:val="center"/>
    </w:pPr>
    <w:rPr>
      <w:rFonts w:ascii="宋体"/>
      <w:kern w:val="0"/>
      <w:szCs w:val="20"/>
    </w:rPr>
  </w:style>
  <w:style w:type="paragraph" w:customStyle="1" w:styleId="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表头"/>
    <w:basedOn w:val="1"/>
    <w:qFormat/>
    <w:uiPriority w:val="0"/>
    <w:pPr>
      <w:keepNext/>
      <w:widowControl/>
      <w:numPr>
        <w:ilvl w:val="0"/>
        <w:numId w:val="2"/>
      </w:numPr>
      <w:spacing w:line="360" w:lineRule="exact"/>
      <w:ind w:firstLine="0" w:firstLineChars="0"/>
    </w:pPr>
    <w:rPr>
      <w:b/>
      <w:color w:val="000000"/>
      <w:szCs w:val="24"/>
    </w:rPr>
  </w:style>
  <w:style w:type="paragraph" w:customStyle="1" w:styleId="68">
    <w:name w:val="Default1"/>
    <w:basedOn w:val="69"/>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9">
    <w:name w:val="Normal_14_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0">
    <w:name w:val="样式 样式 样式 样式 样式 正文@ + 首行缩进:  2 字符 字距调整小四 紧缩量  0.2 磅 + 首行缩进:  2 字符..."/>
    <w:basedOn w:val="1"/>
    <w:qFormat/>
    <w:uiPriority w:val="0"/>
    <w:pPr>
      <w:widowControl w:val="0"/>
      <w:spacing w:line="360" w:lineRule="auto"/>
      <w:ind w:firstLine="200" w:firstLineChars="200"/>
      <w:textAlignment w:val="auto"/>
    </w:pPr>
    <w:rPr>
      <w:rFonts w:ascii="宋体" w:hAnsi="宋体" w:cs="宋体"/>
      <w:color w:val="auto"/>
      <w:sz w:val="24"/>
      <w:u w:val="none" w:color="auto"/>
    </w:rPr>
  </w:style>
  <w:style w:type="paragraph" w:customStyle="1" w:styleId="71">
    <w:name w:val="样式2"/>
    <w:basedOn w:val="1"/>
    <w:qFormat/>
    <w:uiPriority w:val="0"/>
    <w:pPr>
      <w:spacing w:line="440" w:lineRule="exact"/>
      <w:ind w:firstLine="454"/>
    </w:pPr>
    <w:rPr>
      <w:sz w:val="24"/>
    </w:rPr>
  </w:style>
  <w:style w:type="character" w:customStyle="1" w:styleId="72">
    <w:name w:val="fontstyle01"/>
    <w:basedOn w:val="37"/>
    <w:qFormat/>
    <w:uiPriority w:val="0"/>
    <w:rPr>
      <w:rFonts w:hint="eastAsia" w:ascii="宋体" w:hAnsi="宋体" w:eastAsia="宋体"/>
      <w:color w:val="000000"/>
      <w:spacing w:val="0"/>
      <w:w w:val="100"/>
      <w:sz w:val="24"/>
      <w:szCs w:val="24"/>
      <w:u w:val="none" w:color="000000"/>
      <w:vertAlign w:val="baseline"/>
      <w:lang w:val="en-US" w:eastAsia="zh-CN"/>
    </w:rPr>
  </w:style>
  <w:style w:type="paragraph" w:customStyle="1" w:styleId="73">
    <w:name w:val="表格正文"/>
    <w:basedOn w:val="1"/>
    <w:next w:val="1"/>
    <w:qFormat/>
    <w:uiPriority w:val="0"/>
    <w:pPr>
      <w:widowControl w:val="0"/>
      <w:spacing w:line="320" w:lineRule="exact"/>
      <w:jc w:val="center"/>
      <w:textAlignment w:val="auto"/>
    </w:pPr>
    <w:rPr>
      <w:color w:val="auto"/>
      <w:kern w:val="2"/>
      <w:szCs w:val="24"/>
      <w:u w:val="none" w:color="auto"/>
    </w:rPr>
  </w:style>
  <w:style w:type="paragraph" w:customStyle="1" w:styleId="74">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75">
    <w:name w:val="表内容@"/>
    <w:basedOn w:val="1"/>
    <w:qFormat/>
    <w:uiPriority w:val="0"/>
    <w:pPr>
      <w:spacing w:line="0" w:lineRule="atLeast"/>
      <w:jc w:val="center"/>
    </w:pPr>
    <w:rPr>
      <w:rFonts w:ascii="Times New Roman" w:hAnsi="宋体" w:eastAsia="宋体" w:cs="Times New Roman"/>
    </w:rPr>
  </w:style>
  <w:style w:type="character" w:customStyle="1" w:styleId="76">
    <w:name w:val="fontstyle21"/>
    <w:basedOn w:val="37"/>
    <w:qFormat/>
    <w:uiPriority w:val="0"/>
    <w:rPr>
      <w:rFonts w:ascii="TimesNewRomanPSMT" w:hAnsi="TimesNewRomanPSMT" w:eastAsia="TimesNewRomanPSMT" w:cs="TimesNewRomanPSMT"/>
      <w:color w:val="000000"/>
      <w:sz w:val="22"/>
      <w:szCs w:val="22"/>
    </w:rPr>
  </w:style>
  <w:style w:type="paragraph" w:styleId="77">
    <w:name w:val="List Paragraph"/>
    <w:basedOn w:val="1"/>
    <w:qFormat/>
    <w:uiPriority w:val="34"/>
    <w:pPr>
      <w:ind w:left="720"/>
      <w:contextualSpacing/>
    </w:pPr>
  </w:style>
  <w:style w:type="paragraph" w:customStyle="1" w:styleId="78">
    <w:name w:val="Other|1"/>
    <w:basedOn w:val="1"/>
    <w:qFormat/>
    <w:uiPriority w:val="0"/>
    <w:pPr>
      <w:widowControl w:val="0"/>
      <w:shd w:val="clear" w:color="auto" w:fill="auto"/>
      <w:jc w:val="center"/>
    </w:pPr>
    <w:rPr>
      <w:sz w:val="20"/>
      <w:szCs w:val="20"/>
      <w:u w:val="none"/>
      <w:shd w:val="clear" w:color="auto" w:fill="auto"/>
      <w:lang w:val="zh-TW" w:eastAsia="zh-TW" w:bidi="zh-TW"/>
    </w:rPr>
  </w:style>
  <w:style w:type="paragraph" w:customStyle="1" w:styleId="79">
    <w:name w:val="A-表格文字"/>
    <w:basedOn w:val="1"/>
    <w:next w:val="1"/>
    <w:qFormat/>
    <w:uiPriority w:val="0"/>
    <w:pPr>
      <w:autoSpaceDE w:val="0"/>
      <w:autoSpaceDN w:val="0"/>
      <w:adjustRightInd w:val="0"/>
      <w:jc w:val="center"/>
      <w:textAlignment w:val="center"/>
    </w:pPr>
    <w:rPr>
      <w:kern w:val="0"/>
      <w:szCs w:val="21"/>
    </w:rPr>
  </w:style>
  <w:style w:type="paragraph" w:customStyle="1" w:styleId="80">
    <w:name w:val="Table Paragraph"/>
    <w:basedOn w:val="1"/>
    <w:unhideWhenUsed/>
    <w:qFormat/>
    <w:uiPriority w:val="1"/>
    <w:pPr>
      <w:spacing w:beforeLines="0" w:afterLines="0"/>
    </w:pPr>
    <w:rPr>
      <w:rFonts w:hint="eastAsia"/>
      <w:sz w:val="22"/>
      <w:szCs w:val="22"/>
    </w:rPr>
  </w:style>
  <w:style w:type="paragraph" w:customStyle="1" w:styleId="81">
    <w:name w:val="Default"/>
    <w:basedOn w:val="82"/>
    <w:qFormat/>
    <w:uiPriority w:val="0"/>
    <w:pPr>
      <w:widowControl w:val="0"/>
      <w:autoSpaceDE w:val="0"/>
      <w:autoSpaceDN w:val="0"/>
      <w:adjustRightInd w:val="0"/>
    </w:pPr>
    <w:rPr>
      <w:color w:val="000000"/>
      <w:sz w:val="24"/>
      <w:lang w:val="en-US" w:eastAsia="zh-CN" w:bidi="ar-SA"/>
    </w:rPr>
  </w:style>
  <w:style w:type="paragraph" w:customStyle="1" w:styleId="82">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83">
    <w:name w:val="纯文本1"/>
    <w:basedOn w:val="1"/>
    <w:qFormat/>
    <w:uiPriority w:val="0"/>
    <w:pPr>
      <w:adjustRightInd w:val="0"/>
      <w:spacing w:line="240" w:lineRule="auto"/>
      <w:ind w:firstLine="0"/>
      <w:textAlignment w:val="baseline"/>
    </w:pPr>
    <w:rPr>
      <w:rFonts w:ascii="宋体" w:hAnsi="Courier New"/>
      <w:sz w:val="21"/>
      <w:szCs w:val="20"/>
    </w:rPr>
  </w:style>
  <w:style w:type="paragraph" w:customStyle="1" w:styleId="84">
    <w:name w:val="样式 样式 首行缩进:  2 字符 + 首行缩进:  2 字符"/>
    <w:basedOn w:val="1"/>
    <w:next w:val="26"/>
    <w:qFormat/>
    <w:uiPriority w:val="0"/>
    <w:pPr>
      <w:snapToGrid w:val="0"/>
      <w:spacing w:line="360" w:lineRule="auto"/>
      <w:ind w:firstLine="560"/>
    </w:pPr>
    <w:rPr>
      <w:sz w:val="28"/>
    </w:rPr>
  </w:style>
  <w:style w:type="paragraph" w:customStyle="1" w:styleId="85">
    <w:name w:val="报告书正文"/>
    <w:basedOn w:val="86"/>
    <w:next w:val="88"/>
    <w:qFormat/>
    <w:uiPriority w:val="0"/>
    <w:pPr>
      <w:spacing w:line="300" w:lineRule="auto"/>
      <w:ind w:firstLine="200" w:firstLineChars="200"/>
    </w:pPr>
    <w:rPr>
      <w:sz w:val="24"/>
      <w:szCs w:val="20"/>
    </w:rPr>
  </w:style>
  <w:style w:type="paragraph" w:customStyle="1" w:styleId="86">
    <w:name w:val="正文文本缩进 2 New"/>
    <w:basedOn w:val="87"/>
    <w:qFormat/>
    <w:uiPriority w:val="0"/>
    <w:pPr>
      <w:spacing w:after="120" w:afterLines="0" w:line="480" w:lineRule="auto"/>
      <w:ind w:left="420" w:leftChars="200"/>
    </w:pPr>
    <w:rPr>
      <w:sz w:val="24"/>
      <w:szCs w:val="24"/>
    </w:rPr>
  </w:style>
  <w:style w:type="paragraph" w:customStyle="1" w:styleId="87">
    <w:name w:val="正文 New New New New New New"/>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88">
    <w:name w:val="表名"/>
    <w:basedOn w:val="1"/>
    <w:next w:val="1"/>
    <w:qFormat/>
    <w:uiPriority w:val="0"/>
    <w:pPr>
      <w:overflowPunct w:val="0"/>
      <w:spacing w:before="120"/>
      <w:textAlignment w:val="baseline"/>
    </w:pPr>
    <w:rPr>
      <w:rFonts w:ascii="Arial" w:hAnsi="Arial" w:eastAsia="黑体"/>
      <w:kern w:val="0"/>
      <w:sz w:val="24"/>
    </w:rPr>
  </w:style>
  <w:style w:type="table" w:customStyle="1" w:styleId="89">
    <w:name w:val="Table Normal"/>
    <w:unhideWhenUsed/>
    <w:qFormat/>
    <w:uiPriority w:val="0"/>
    <w:tblPr>
      <w:tblCellMar>
        <w:top w:w="0" w:type="dxa"/>
        <w:left w:w="0" w:type="dxa"/>
        <w:bottom w:w="0" w:type="dxa"/>
        <w:right w:w="0" w:type="dxa"/>
      </w:tblCellMar>
    </w:tblPr>
  </w:style>
  <w:style w:type="paragraph" w:customStyle="1" w:styleId="90">
    <w:name w:val="图件标题"/>
    <w:basedOn w:val="1"/>
    <w:qFormat/>
    <w:uiPriority w:val="0"/>
    <w:pPr>
      <w:spacing w:before="156" w:beforeLines="50" w:line="240" w:lineRule="exact"/>
      <w:ind w:firstLine="0" w:firstLineChars="0"/>
      <w:jc w:val="center"/>
    </w:pPr>
    <w:rPr>
      <w:b/>
      <w:sz w:val="21"/>
    </w:rPr>
  </w:style>
  <w:style w:type="paragraph" w:customStyle="1" w:styleId="91">
    <w:name w:val="样式1"/>
    <w:qFormat/>
    <w:uiPriority w:val="0"/>
    <w:pPr>
      <w:widowControl w:val="0"/>
      <w:spacing w:line="360" w:lineRule="auto"/>
      <w:ind w:firstLine="425"/>
      <w:jc w:val="center"/>
    </w:pPr>
    <w:rPr>
      <w:rFonts w:ascii="宋体" w:hAnsi="宋体" w:eastAsia="仿宋_GB2312" w:cs="黑体"/>
      <w:kern w:val="44"/>
      <w:sz w:val="24"/>
      <w:lang w:val="en-US" w:eastAsia="zh-CN" w:bidi="ar-SA"/>
    </w:rPr>
  </w:style>
  <w:style w:type="paragraph" w:customStyle="1" w:styleId="92">
    <w:name w:val="表格内正文"/>
    <w:basedOn w:val="1"/>
    <w:qFormat/>
    <w:uiPriority w:val="0"/>
    <w:pPr>
      <w:spacing w:line="360" w:lineRule="auto"/>
      <w:ind w:firstLine="493"/>
    </w:pPr>
    <w:rPr>
      <w:rFonts w:ascii="宋体" w:hAnsi="宋体"/>
      <w:spacing w:val="4"/>
      <w:kern w:val="18"/>
      <w:sz w:val="24"/>
    </w:rPr>
  </w:style>
  <w:style w:type="character" w:customStyle="1" w:styleId="93">
    <w:name w:val="font11"/>
    <w:basedOn w:val="37"/>
    <w:qFormat/>
    <w:uiPriority w:val="0"/>
    <w:rPr>
      <w:rFonts w:hint="default" w:ascii="Times New Roman" w:hAnsi="Times New Roman" w:cs="Times New Roman"/>
      <w:color w:val="000000"/>
      <w:sz w:val="21"/>
      <w:szCs w:val="21"/>
      <w:u w:val="none"/>
    </w:rPr>
  </w:style>
  <w:style w:type="paragraph" w:customStyle="1" w:styleId="94">
    <w:name w:val="A-z正文"/>
    <w:basedOn w:val="1"/>
    <w:qFormat/>
    <w:uiPriority w:val="0"/>
    <w:pPr>
      <w:spacing w:line="360" w:lineRule="auto"/>
      <w:ind w:firstLine="200" w:firstLineChars="200"/>
    </w:pPr>
    <w:rPr>
      <w:kern w:val="0"/>
      <w:sz w:val="24"/>
    </w:rPr>
  </w:style>
  <w:style w:type="paragraph" w:customStyle="1" w:styleId="95">
    <w:name w:val="表"/>
    <w:basedOn w:val="1"/>
    <w:next w:val="1"/>
    <w:qFormat/>
    <w:uiPriority w:val="0"/>
    <w:pPr>
      <w:spacing w:line="240" w:lineRule="atLeast"/>
      <w:jc w:val="center"/>
      <w:textAlignment w:val="baseline"/>
    </w:pPr>
    <w:rPr>
      <w:kern w:val="24"/>
      <w:szCs w:val="21"/>
    </w:rPr>
  </w:style>
  <w:style w:type="paragraph" w:customStyle="1" w:styleId="96">
    <w:name w:val="表格居中"/>
    <w:basedOn w:val="1"/>
    <w:qFormat/>
    <w:uiPriority w:val="0"/>
    <w:pPr>
      <w:spacing w:line="0" w:lineRule="atLeast"/>
      <w:jc w:val="center"/>
    </w:pPr>
    <w:rPr>
      <w:rFonts w:ascii="Calibri" w:hAnsi="Calibri" w:cs="Arial"/>
      <w:szCs w:val="21"/>
    </w:rPr>
  </w:style>
  <w:style w:type="paragraph" w:customStyle="1" w:styleId="97">
    <w:name w:val="居中正文"/>
    <w:basedOn w:val="33"/>
    <w:qFormat/>
    <w:uiPriority w:val="0"/>
    <w:pPr>
      <w:adjustRightInd w:val="0"/>
      <w:spacing w:before="120" w:after="0" w:line="360" w:lineRule="auto"/>
      <w:ind w:firstLine="0"/>
      <w:jc w:val="center"/>
      <w:textAlignment w:val="baseline"/>
    </w:pPr>
    <w:rPr>
      <w:rFonts w:ascii="宋体"/>
      <w:kern w:val="28"/>
      <w:sz w:val="24"/>
    </w:rPr>
  </w:style>
  <w:style w:type="paragraph" w:customStyle="1" w:styleId="9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99">
    <w:name w:val="Table Grid_0"/>
    <w:basedOn w:val="3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使用"/>
    <w:basedOn w:val="2"/>
    <w:qFormat/>
    <w:uiPriority w:val="0"/>
    <w:pPr>
      <w:adjustRightInd w:val="0"/>
      <w:spacing w:line="520" w:lineRule="exact"/>
      <w:ind w:firstLine="560" w:firstLineChars="200"/>
      <w:textAlignment w:val="center"/>
    </w:pPr>
    <w:rPr>
      <w:rFonts w:eastAsia="仿宋_GB2312"/>
      <w:snapToGrid w:val="0"/>
      <w:color w:val="000000"/>
      <w:kern w:val="0"/>
      <w:szCs w:val="28"/>
    </w:rPr>
  </w:style>
  <w:style w:type="character" w:customStyle="1" w:styleId="101">
    <w:name w:val="【正文】 Char Char"/>
    <w:link w:val="102"/>
    <w:qFormat/>
    <w:uiPriority w:val="0"/>
    <w:rPr>
      <w:sz w:val="24"/>
    </w:rPr>
  </w:style>
  <w:style w:type="paragraph" w:customStyle="1" w:styleId="102">
    <w:name w:val="【正文】"/>
    <w:basedOn w:val="1"/>
    <w:link w:val="101"/>
    <w:qFormat/>
    <w:uiPriority w:val="0"/>
    <w:pPr>
      <w:spacing w:line="440" w:lineRule="exact"/>
      <w:ind w:firstLine="544" w:firstLineChars="200"/>
    </w:pPr>
    <w:rPr>
      <w:sz w:val="24"/>
    </w:rPr>
  </w:style>
  <w:style w:type="paragraph" w:customStyle="1" w:styleId="103">
    <w:name w:val="正文(康健城)"/>
    <w:basedOn w:val="1"/>
    <w:qFormat/>
    <w:uiPriority w:val="0"/>
    <w:pPr>
      <w:autoSpaceDE/>
      <w:autoSpaceDN/>
      <w:snapToGrid w:val="0"/>
      <w:spacing w:line="360" w:lineRule="auto"/>
      <w:ind w:firstLine="480" w:firstLineChars="200"/>
      <w:jc w:val="both"/>
      <w:textAlignment w:val="baseline"/>
    </w:pPr>
  </w:style>
  <w:style w:type="paragraph" w:customStyle="1" w:styleId="104">
    <w:name w:val="表格小四"/>
    <w:basedOn w:val="1"/>
    <w:qFormat/>
    <w:uiPriority w:val="0"/>
    <w:pPr>
      <w:widowControl/>
      <w:spacing w:line="240" w:lineRule="auto"/>
      <w:jc w:val="center"/>
    </w:pPr>
    <w:rPr>
      <w:rFonts w:ascii="仿宋_GB2312" w:hAnsi="仿宋_GB2312" w:eastAsia="宋体" w:cs="仿宋_GB2312"/>
      <w:sz w:val="24"/>
      <w:szCs w:val="20"/>
    </w:rPr>
  </w:style>
  <w:style w:type="paragraph" w:customStyle="1" w:styleId="105">
    <w:name w:val="正文粗"/>
    <w:basedOn w:val="1"/>
    <w:next w:val="14"/>
    <w:qFormat/>
    <w:uiPriority w:val="0"/>
    <w:pPr>
      <w:ind w:firstLine="482"/>
      <w:jc w:val="both"/>
    </w:pPr>
    <w:rPr>
      <w:rFonts w:ascii="Times New Roman" w:hAnsi="Times New Roman" w:eastAsia="宋体"/>
      <w:b/>
      <w:color w:val="000000"/>
      <w:sz w:val="24"/>
      <w:szCs w:val="20"/>
    </w:rPr>
  </w:style>
  <w:style w:type="paragraph" w:customStyle="1" w:styleId="10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07">
    <w:name w:val="Table Text"/>
    <w:basedOn w:val="1"/>
    <w:semiHidden/>
    <w:qFormat/>
    <w:uiPriority w:val="0"/>
    <w:rPr>
      <w:rFonts w:ascii="宋体" w:hAnsi="宋体" w:eastAsia="宋体" w:cs="宋体"/>
      <w:sz w:val="20"/>
      <w:szCs w:val="20"/>
      <w:lang w:val="en-US" w:eastAsia="en-US" w:bidi="ar-SA"/>
    </w:rPr>
  </w:style>
  <w:style w:type="character" w:customStyle="1" w:styleId="108">
    <w:name w:val="font41"/>
    <w:basedOn w:val="37"/>
    <w:qFormat/>
    <w:uiPriority w:val="0"/>
    <w:rPr>
      <w:rFonts w:hint="default" w:ascii="Times New Roman" w:hAnsi="Times New Roman" w:cs="Times New Roman"/>
      <w:b/>
      <w:bCs/>
      <w:color w:val="000000"/>
      <w:sz w:val="21"/>
      <w:szCs w:val="21"/>
      <w:u w:val="none"/>
    </w:rPr>
  </w:style>
  <w:style w:type="character" w:customStyle="1" w:styleId="109">
    <w:name w:val="font31"/>
    <w:basedOn w:val="37"/>
    <w:qFormat/>
    <w:uiPriority w:val="0"/>
    <w:rPr>
      <w:rFonts w:hint="eastAsia" w:ascii="宋体" w:hAnsi="宋体" w:eastAsia="宋体" w:cs="宋体"/>
      <w:color w:val="000000"/>
      <w:sz w:val="21"/>
      <w:szCs w:val="21"/>
      <w:u w:val="none"/>
    </w:rPr>
  </w:style>
  <w:style w:type="character" w:customStyle="1" w:styleId="110">
    <w:name w:val="font21"/>
    <w:basedOn w:val="37"/>
    <w:qFormat/>
    <w:uiPriority w:val="0"/>
    <w:rPr>
      <w:rFonts w:hint="default" w:ascii="Times New Roman" w:hAnsi="Times New Roman" w:cs="Times New Roman"/>
      <w:color w:val="000000"/>
      <w:sz w:val="21"/>
      <w:szCs w:val="21"/>
      <w:u w:val="none"/>
    </w:rPr>
  </w:style>
  <w:style w:type="character" w:customStyle="1" w:styleId="111">
    <w:name w:val="font51"/>
    <w:basedOn w:val="37"/>
    <w:qFormat/>
    <w:uiPriority w:val="0"/>
    <w:rPr>
      <w:rFonts w:hint="default" w:ascii="Times New Roman" w:hAnsi="Times New Roman" w:cs="Times New Roman"/>
      <w:color w:val="FF0000"/>
      <w:sz w:val="21"/>
      <w:szCs w:val="21"/>
      <w:u w:val="none"/>
    </w:rPr>
  </w:style>
  <w:style w:type="character" w:customStyle="1" w:styleId="112">
    <w:name w:val="font61"/>
    <w:basedOn w:val="37"/>
    <w:qFormat/>
    <w:uiPriority w:val="0"/>
    <w:rPr>
      <w:rFonts w:hint="eastAsia" w:ascii="宋体" w:hAnsi="宋体" w:eastAsia="宋体" w:cs="宋体"/>
      <w:color w:val="FF0000"/>
      <w:sz w:val="21"/>
      <w:szCs w:val="21"/>
      <w:u w:val="none"/>
    </w:rPr>
  </w:style>
  <w:style w:type="paragraph" w:customStyle="1" w:styleId="113">
    <w:name w:val="报告"/>
    <w:basedOn w:val="1"/>
    <w:autoRedefine/>
    <w:qFormat/>
    <w:uiPriority w:val="0"/>
    <w:pPr>
      <w:adjustRightInd w:val="0"/>
      <w:spacing w:line="360" w:lineRule="auto"/>
      <w:ind w:firstLine="505"/>
      <w:textAlignment w:val="baseline"/>
    </w:pPr>
    <w:rPr>
      <w:kern w:val="0"/>
      <w:sz w:val="24"/>
      <w:szCs w:val="20"/>
    </w:rPr>
  </w:style>
  <w:style w:type="paragraph" w:customStyle="1" w:styleId="114">
    <w:name w:val="标题二级"/>
    <w:basedOn w:val="1"/>
    <w:autoRedefine/>
    <w:qFormat/>
    <w:uiPriority w:val="0"/>
    <w:pPr>
      <w:spacing w:line="360" w:lineRule="auto"/>
      <w:ind w:firstLine="720" w:firstLineChars="200"/>
      <w:jc w:val="left"/>
    </w:pPr>
    <w:rPr>
      <w:rFonts w:ascii="Times New Roman" w:hAnsi="Times New Roman" w:eastAsia="宋体" w:cs="Times New Roman"/>
      <w:b/>
      <w:sz w:val="24"/>
      <w:szCs w:val="24"/>
    </w:rPr>
  </w:style>
  <w:style w:type="paragraph" w:customStyle="1" w:styleId="115">
    <w:name w:val="需要缩进的正文"/>
    <w:basedOn w:val="1"/>
    <w:qFormat/>
    <w:uiPriority w:val="0"/>
    <w:pPr>
      <w:adjustRightInd w:val="0"/>
      <w:snapToGrid w:val="0"/>
      <w:spacing w:line="360" w:lineRule="auto"/>
      <w:ind w:firstLine="720" w:firstLineChars="200"/>
      <w:jc w:val="both"/>
    </w:pPr>
    <w:rPr>
      <w:sz w:val="24"/>
      <w:szCs w:val="36"/>
    </w:rPr>
  </w:style>
  <w:style w:type="paragraph" w:customStyle="1" w:styleId="116">
    <w:name w:val="表格文字"/>
    <w:basedOn w:val="1"/>
    <w:next w:val="1"/>
    <w:qFormat/>
    <w:uiPriority w:val="0"/>
    <w:pPr>
      <w:adjustRightInd w:val="0"/>
      <w:snapToGrid w:val="0"/>
      <w:spacing w:line="240" w:lineRule="auto"/>
      <w:ind w:firstLine="0" w:firstLineChars="0"/>
      <w:jc w:val="center"/>
    </w:pPr>
    <w:rPr>
      <w:kern w:val="0"/>
      <w:sz w:val="21"/>
      <w:szCs w:val="20"/>
    </w:rPr>
  </w:style>
  <w:style w:type="paragraph" w:customStyle="1" w:styleId="117">
    <w:name w:val="表格标题"/>
    <w:basedOn w:val="116"/>
    <w:next w:val="1"/>
    <w:qFormat/>
    <w:uiPriority w:val="0"/>
    <w:pPr>
      <w:spacing w:after="60" w:line="240" w:lineRule="auto"/>
      <w:ind w:firstLine="0" w:firstLineChars="0"/>
      <w:jc w:val="center"/>
    </w:pPr>
    <w:rPr>
      <w:rFonts w:ascii="Times New Roman" w:hAnsi="Times New Roman"/>
      <w:b/>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wmf"/><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oleObject" Target="embeddings/oleObject9.bin"/><Relationship Id="rId32" Type="http://schemas.openxmlformats.org/officeDocument/2006/relationships/image" Target="media/image17.wmf"/><Relationship Id="rId31" Type="http://schemas.openxmlformats.org/officeDocument/2006/relationships/oleObject" Target="embeddings/oleObject8.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5.wmf"/><Relationship Id="rId27" Type="http://schemas.openxmlformats.org/officeDocument/2006/relationships/oleObject" Target="embeddings/oleObject6.bin"/><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109</Pages>
  <Words>54286</Words>
  <Characters>60314</Characters>
  <Lines>13</Lines>
  <Paragraphs>3</Paragraphs>
  <TotalTime>73</TotalTime>
  <ScaleCrop>false</ScaleCrop>
  <LinksUpToDate>false</LinksUpToDate>
  <CharactersWithSpaces>60639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幻16兰工</cp:lastModifiedBy>
  <cp:lastPrinted>2022-02-18T09:37:00Z</cp:lastPrinted>
  <dcterms:modified xsi:type="dcterms:W3CDTF">2025-10-24T09:57:12Z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05D46EB641F9459EBF2F10BC3E910CCE_13</vt:lpwstr>
  </property>
  <property fmtid="{D5CDD505-2E9C-101B-9397-08002B2CF9AE}" pid="4" name="KSOTemplateDocerSaveRecord">
    <vt:lpwstr>eyJoZGlkIjoiZGFiNTNlZWYwNTYzZGUyMzgxMDM4YmM3YWM2OWQ5ZTUiLCJ1c2VySWQiOiIyNjk0MDE1NzIifQ==</vt:lpwstr>
  </property>
</Properties>
</file>